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04714">
      <w:pPr>
        <w:spacing w:after="240" w:line="300" w:lineRule="auto"/>
        <w:rPr>
          <w:sz w:val="32"/>
          <w:szCs w:val="32"/>
        </w:rPr>
      </w:pPr>
      <w:r>
        <w:rPr>
          <w:sz w:val="32"/>
          <w:szCs w:val="32"/>
        </w:rPr>
        <w:t>合同编号：【】</w:t>
      </w:r>
    </w:p>
    <w:p w14:paraId="5566D7F6">
      <w:pPr>
        <w:pStyle w:val="32"/>
        <w:spacing w:after="240" w:afterLines="100" w:line="300" w:lineRule="auto"/>
        <w:jc w:val="both"/>
        <w:rPr>
          <w:rFonts w:ascii="Times New Roman"/>
          <w:color w:val="auto"/>
          <w:sz w:val="32"/>
          <w:szCs w:val="32"/>
        </w:rPr>
      </w:pPr>
    </w:p>
    <w:p w14:paraId="2469CF59">
      <w:pPr>
        <w:pStyle w:val="32"/>
        <w:spacing w:after="240" w:afterLines="100" w:line="300" w:lineRule="auto"/>
        <w:jc w:val="both"/>
        <w:rPr>
          <w:rFonts w:ascii="Times New Roman"/>
          <w:color w:val="auto"/>
          <w:sz w:val="32"/>
          <w:szCs w:val="32"/>
        </w:rPr>
      </w:pPr>
    </w:p>
    <w:p w14:paraId="2060B2AF">
      <w:pPr>
        <w:pStyle w:val="32"/>
        <w:spacing w:after="240" w:afterLines="100" w:line="300" w:lineRule="auto"/>
        <w:jc w:val="both"/>
        <w:rPr>
          <w:rFonts w:ascii="Times New Roman"/>
          <w:color w:val="auto"/>
          <w:sz w:val="32"/>
          <w:szCs w:val="32"/>
        </w:rPr>
      </w:pPr>
    </w:p>
    <w:p w14:paraId="3853E3C8">
      <w:pPr>
        <w:pStyle w:val="35"/>
        <w:spacing w:after="240" w:afterLines="100" w:line="300" w:lineRule="auto"/>
        <w:jc w:val="center"/>
        <w:rPr>
          <w:rFonts w:ascii="Times New Roman"/>
          <w:b/>
          <w:bCs/>
          <w:sz w:val="32"/>
          <w:szCs w:val="32"/>
        </w:rPr>
      </w:pPr>
      <w:r>
        <w:rPr>
          <w:rFonts w:ascii="Times New Roman"/>
          <w:b/>
          <w:bCs/>
          <w:sz w:val="32"/>
          <w:szCs w:val="32"/>
        </w:rPr>
        <w:t>中国东方资产管理股份有限公司</w:t>
      </w:r>
      <w:r>
        <w:rPr>
          <w:rFonts w:ascii="Times New Roman"/>
          <w:b/>
          <w:sz w:val="32"/>
          <w:szCs w:val="32"/>
        </w:rPr>
        <w:t>【山东省】分公司</w:t>
      </w:r>
    </w:p>
    <w:p w14:paraId="0A369134">
      <w:pPr>
        <w:pStyle w:val="32"/>
        <w:tabs>
          <w:tab w:val="left" w:pos="2025"/>
        </w:tabs>
        <w:spacing w:after="240" w:afterLines="100" w:line="300" w:lineRule="auto"/>
        <w:jc w:val="center"/>
        <w:rPr>
          <w:rFonts w:ascii="Times New Roman"/>
          <w:color w:val="auto"/>
          <w:sz w:val="32"/>
          <w:szCs w:val="32"/>
        </w:rPr>
      </w:pPr>
    </w:p>
    <w:p w14:paraId="51A36F7F">
      <w:pPr>
        <w:pStyle w:val="32"/>
        <w:spacing w:after="240" w:afterLines="100" w:line="300" w:lineRule="auto"/>
        <w:jc w:val="center"/>
        <w:rPr>
          <w:rFonts w:ascii="Times New Roman"/>
          <w:b/>
          <w:bCs/>
          <w:color w:val="auto"/>
          <w:sz w:val="32"/>
          <w:szCs w:val="32"/>
        </w:rPr>
      </w:pPr>
      <w:r>
        <w:rPr>
          <w:rFonts w:ascii="Times New Roman"/>
          <w:b/>
          <w:bCs/>
          <w:color w:val="auto"/>
          <w:sz w:val="32"/>
          <w:szCs w:val="32"/>
        </w:rPr>
        <w:t>与</w:t>
      </w:r>
    </w:p>
    <w:p w14:paraId="31D32972">
      <w:pPr>
        <w:pStyle w:val="32"/>
        <w:spacing w:after="240" w:afterLines="100" w:line="300" w:lineRule="auto"/>
        <w:jc w:val="center"/>
        <w:rPr>
          <w:rFonts w:ascii="Times New Roman"/>
          <w:color w:val="auto"/>
          <w:sz w:val="32"/>
          <w:szCs w:val="32"/>
        </w:rPr>
      </w:pPr>
    </w:p>
    <w:p w14:paraId="656AF1F6">
      <w:pPr>
        <w:spacing w:after="240" w:afterLines="100" w:line="300" w:lineRule="auto"/>
        <w:jc w:val="center"/>
        <w:rPr>
          <w:b/>
          <w:sz w:val="32"/>
          <w:szCs w:val="32"/>
        </w:rPr>
      </w:pPr>
      <w:r>
        <w:rPr>
          <w:b/>
          <w:sz w:val="32"/>
          <w:szCs w:val="32"/>
        </w:rPr>
        <w:t>【】</w:t>
      </w:r>
    </w:p>
    <w:p w14:paraId="03368B2E">
      <w:pPr>
        <w:pStyle w:val="32"/>
        <w:jc w:val="center"/>
        <w:rPr>
          <w:rFonts w:ascii="Times New Roman"/>
          <w:color w:val="auto"/>
        </w:rPr>
      </w:pPr>
    </w:p>
    <w:p w14:paraId="0D150C9F">
      <w:pPr>
        <w:pStyle w:val="32"/>
        <w:spacing w:after="240" w:afterLines="100" w:line="300" w:lineRule="auto"/>
        <w:jc w:val="center"/>
        <w:rPr>
          <w:rFonts w:ascii="Times New Roman"/>
          <w:b/>
          <w:bCs/>
          <w:color w:val="auto"/>
          <w:sz w:val="32"/>
          <w:szCs w:val="32"/>
        </w:rPr>
      </w:pPr>
      <w:r>
        <w:rPr>
          <w:rFonts w:ascii="Times New Roman"/>
          <w:b/>
          <w:bCs/>
          <w:color w:val="auto"/>
          <w:sz w:val="32"/>
          <w:szCs w:val="32"/>
        </w:rPr>
        <w:t>之</w:t>
      </w:r>
    </w:p>
    <w:p w14:paraId="3D0A6667">
      <w:pPr>
        <w:pStyle w:val="33"/>
        <w:spacing w:after="240" w:afterLines="100" w:line="300" w:lineRule="auto"/>
        <w:jc w:val="center"/>
        <w:rPr>
          <w:rFonts w:ascii="Times New Roman"/>
          <w:b/>
          <w:bCs/>
          <w:sz w:val="36"/>
          <w:szCs w:val="36"/>
        </w:rPr>
      </w:pPr>
    </w:p>
    <w:p w14:paraId="698F9F58">
      <w:pPr>
        <w:pStyle w:val="33"/>
        <w:spacing w:after="240" w:afterLines="100" w:line="300" w:lineRule="auto"/>
        <w:jc w:val="center"/>
        <w:rPr>
          <w:rFonts w:ascii="Times New Roman"/>
          <w:b/>
          <w:bCs/>
          <w:sz w:val="36"/>
          <w:szCs w:val="36"/>
        </w:rPr>
      </w:pPr>
      <w:r>
        <w:rPr>
          <w:rFonts w:ascii="Times New Roman"/>
          <w:b/>
          <w:bCs/>
          <w:sz w:val="36"/>
          <w:szCs w:val="36"/>
        </w:rPr>
        <w:t>资产转让协议</w:t>
      </w:r>
    </w:p>
    <w:p w14:paraId="540E80D1">
      <w:pPr>
        <w:pStyle w:val="33"/>
        <w:spacing w:after="240" w:afterLines="100" w:line="300" w:lineRule="auto"/>
        <w:jc w:val="both"/>
        <w:rPr>
          <w:rFonts w:ascii="Times New Roman"/>
          <w:sz w:val="32"/>
          <w:szCs w:val="32"/>
        </w:rPr>
      </w:pPr>
    </w:p>
    <w:p w14:paraId="67D0B57F">
      <w:pPr>
        <w:pStyle w:val="32"/>
        <w:spacing w:after="240" w:afterLines="100" w:line="300" w:lineRule="auto"/>
        <w:jc w:val="both"/>
        <w:rPr>
          <w:rFonts w:ascii="Times New Roman"/>
          <w:color w:val="auto"/>
          <w:sz w:val="32"/>
          <w:szCs w:val="32"/>
        </w:rPr>
      </w:pPr>
    </w:p>
    <w:p w14:paraId="758D02D9">
      <w:pPr>
        <w:pStyle w:val="32"/>
        <w:spacing w:after="240" w:afterLines="100" w:line="300" w:lineRule="auto"/>
        <w:jc w:val="both"/>
        <w:rPr>
          <w:rFonts w:ascii="Times New Roman"/>
          <w:color w:val="auto"/>
          <w:sz w:val="32"/>
          <w:szCs w:val="32"/>
        </w:rPr>
      </w:pPr>
    </w:p>
    <w:p w14:paraId="349D5FD8">
      <w:pPr>
        <w:pStyle w:val="101"/>
        <w:spacing w:before="0" w:line="240" w:lineRule="auto"/>
        <w:jc w:val="both"/>
        <w:rPr>
          <w:rFonts w:ascii="Times New Roman" w:hAnsi="Times New Roman" w:cs="Times New Roman"/>
          <w:b/>
          <w:bCs/>
          <w:color w:val="auto"/>
          <w:sz w:val="23"/>
          <w:szCs w:val="23"/>
          <w:lang w:val="zh-CN"/>
        </w:rPr>
      </w:pPr>
      <w:r>
        <w:rPr>
          <w:rFonts w:ascii="Times New Roman" w:hAnsi="Times New Roman" w:cs="Times New Roman"/>
          <w:b/>
          <w:bCs/>
          <w:color w:val="auto"/>
          <w:sz w:val="23"/>
          <w:szCs w:val="23"/>
          <w:lang w:val="zh-CN"/>
        </w:rPr>
        <w:br w:type="page"/>
      </w:r>
    </w:p>
    <w:p w14:paraId="60E7CE4A">
      <w:pPr>
        <w:pStyle w:val="101"/>
        <w:spacing w:before="0" w:line="240" w:lineRule="auto"/>
        <w:jc w:val="center"/>
        <w:rPr>
          <w:rFonts w:ascii="Times New Roman" w:hAnsi="Times New Roman" w:cs="Times New Roman"/>
          <w:b/>
          <w:bCs/>
          <w:color w:val="auto"/>
          <w:sz w:val="28"/>
          <w:szCs w:val="28"/>
          <w:lang w:val="zh-CN"/>
        </w:rPr>
      </w:pPr>
      <w:r>
        <w:rPr>
          <w:rFonts w:ascii="Times New Roman" w:hAnsi="Times New Roman" w:cs="Times New Roman"/>
          <w:b/>
          <w:bCs/>
          <w:color w:val="auto"/>
          <w:sz w:val="28"/>
          <w:szCs w:val="28"/>
          <w:lang w:val="zh-CN"/>
        </w:rPr>
        <w:t>目录</w:t>
      </w:r>
    </w:p>
    <w:p w14:paraId="3B01D6D1">
      <w:pPr>
        <w:rPr>
          <w:sz w:val="23"/>
          <w:szCs w:val="23"/>
          <w:lang w:val="zh-CN" w:bidi="mn-Mong-CN"/>
        </w:rPr>
      </w:pPr>
    </w:p>
    <w:p w14:paraId="3850A0A8">
      <w:pPr>
        <w:pStyle w:val="17"/>
        <w:rPr>
          <w:rFonts w:asciiTheme="minorHAnsi" w:hAnsiTheme="minorHAnsi" w:eastAsiaTheme="minorEastAsia" w:cstheme="minorBidi"/>
          <w:b w:val="0"/>
          <w:bCs w:val="0"/>
          <w:caps w:val="0"/>
          <w:sz w:val="21"/>
          <w:szCs w:val="22"/>
        </w:rPr>
      </w:pPr>
      <w:r>
        <w:rPr>
          <w:b w:val="0"/>
          <w:sz w:val="23"/>
          <w:szCs w:val="23"/>
        </w:rPr>
        <w:fldChar w:fldCharType="begin"/>
      </w:r>
      <w:r>
        <w:rPr>
          <w:b w:val="0"/>
          <w:sz w:val="23"/>
          <w:szCs w:val="23"/>
        </w:rPr>
        <w:instrText xml:space="preserve"> TOC \o "1-1" \h \z \u </w:instrText>
      </w:r>
      <w:r>
        <w:rPr>
          <w:b w:val="0"/>
          <w:sz w:val="23"/>
          <w:szCs w:val="23"/>
        </w:rPr>
        <w:fldChar w:fldCharType="separate"/>
      </w:r>
      <w:r>
        <w:fldChar w:fldCharType="begin"/>
      </w:r>
      <w:r>
        <w:instrText xml:space="preserve"> HYPERLINK \l "_Toc240895596" </w:instrText>
      </w:r>
      <w:r>
        <w:fldChar w:fldCharType="separate"/>
      </w:r>
      <w:r>
        <w:rPr>
          <w:rStyle w:val="29"/>
        </w:rPr>
        <w:t>1.</w:t>
      </w:r>
      <w:r>
        <w:rPr>
          <w:rFonts w:asciiTheme="minorHAnsi" w:hAnsiTheme="minorHAnsi" w:eastAsiaTheme="minorEastAsia" w:cstheme="minorBidi"/>
          <w:b w:val="0"/>
          <w:bCs w:val="0"/>
          <w:caps w:val="0"/>
          <w:sz w:val="21"/>
          <w:szCs w:val="22"/>
        </w:rPr>
        <w:tab/>
      </w:r>
      <w:r>
        <w:rPr>
          <w:rStyle w:val="29"/>
          <w:rFonts w:hint="eastAsia"/>
        </w:rPr>
        <w:t>定义</w:t>
      </w:r>
      <w:r>
        <w:tab/>
      </w:r>
      <w:r>
        <w:fldChar w:fldCharType="begin"/>
      </w:r>
      <w:r>
        <w:instrText xml:space="preserve"> PAGEREF _Toc240895596 \h </w:instrText>
      </w:r>
      <w:r>
        <w:fldChar w:fldCharType="separate"/>
      </w:r>
      <w:r>
        <w:t>1</w:t>
      </w:r>
      <w:r>
        <w:fldChar w:fldCharType="end"/>
      </w:r>
      <w:r>
        <w:fldChar w:fldCharType="end"/>
      </w:r>
    </w:p>
    <w:p w14:paraId="08302E4B">
      <w:pPr>
        <w:pStyle w:val="17"/>
        <w:rPr>
          <w:rFonts w:asciiTheme="minorHAnsi" w:hAnsiTheme="minorHAnsi" w:eastAsiaTheme="minorEastAsia" w:cstheme="minorBidi"/>
          <w:b w:val="0"/>
          <w:bCs w:val="0"/>
          <w:caps w:val="0"/>
          <w:sz w:val="21"/>
          <w:szCs w:val="22"/>
        </w:rPr>
      </w:pPr>
      <w:r>
        <w:fldChar w:fldCharType="begin"/>
      </w:r>
      <w:r>
        <w:instrText xml:space="preserve"> HYPERLINK \l "_Toc240895597" </w:instrText>
      </w:r>
      <w:r>
        <w:fldChar w:fldCharType="separate"/>
      </w:r>
      <w:r>
        <w:rPr>
          <w:rStyle w:val="29"/>
        </w:rPr>
        <w:t>2.</w:t>
      </w:r>
      <w:r>
        <w:rPr>
          <w:rFonts w:asciiTheme="minorHAnsi" w:hAnsiTheme="minorHAnsi" w:eastAsiaTheme="minorEastAsia" w:cstheme="minorBidi"/>
          <w:b w:val="0"/>
          <w:bCs w:val="0"/>
          <w:caps w:val="0"/>
          <w:sz w:val="21"/>
          <w:szCs w:val="22"/>
        </w:rPr>
        <w:tab/>
      </w:r>
      <w:r>
        <w:rPr>
          <w:rStyle w:val="29"/>
          <w:rFonts w:hint="eastAsia"/>
        </w:rPr>
        <w:t>转让标的</w:t>
      </w:r>
      <w:r>
        <w:tab/>
      </w:r>
      <w:r>
        <w:fldChar w:fldCharType="begin"/>
      </w:r>
      <w:r>
        <w:instrText xml:space="preserve"> PAGEREF _Toc240895597 \h </w:instrText>
      </w:r>
      <w:r>
        <w:fldChar w:fldCharType="separate"/>
      </w:r>
      <w:r>
        <w:t>5</w:t>
      </w:r>
      <w:r>
        <w:fldChar w:fldCharType="end"/>
      </w:r>
      <w:r>
        <w:fldChar w:fldCharType="end"/>
      </w:r>
    </w:p>
    <w:p w14:paraId="3B6C9DE2">
      <w:pPr>
        <w:pStyle w:val="17"/>
        <w:rPr>
          <w:rFonts w:asciiTheme="minorHAnsi" w:hAnsiTheme="minorHAnsi" w:eastAsiaTheme="minorEastAsia" w:cstheme="minorBidi"/>
          <w:b w:val="0"/>
          <w:bCs w:val="0"/>
          <w:caps w:val="0"/>
          <w:sz w:val="21"/>
          <w:szCs w:val="22"/>
        </w:rPr>
      </w:pPr>
      <w:r>
        <w:fldChar w:fldCharType="begin"/>
      </w:r>
      <w:r>
        <w:instrText xml:space="preserve"> HYPERLINK \l "_Toc240895598" </w:instrText>
      </w:r>
      <w:r>
        <w:fldChar w:fldCharType="separate"/>
      </w:r>
      <w:r>
        <w:rPr>
          <w:rStyle w:val="29"/>
        </w:rPr>
        <w:t>3.</w:t>
      </w:r>
      <w:r>
        <w:rPr>
          <w:rFonts w:asciiTheme="minorHAnsi" w:hAnsiTheme="minorHAnsi" w:eastAsiaTheme="minorEastAsia" w:cstheme="minorBidi"/>
          <w:b w:val="0"/>
          <w:bCs w:val="0"/>
          <w:caps w:val="0"/>
          <w:sz w:val="21"/>
          <w:szCs w:val="22"/>
        </w:rPr>
        <w:tab/>
      </w:r>
      <w:r>
        <w:rPr>
          <w:rStyle w:val="29"/>
          <w:rFonts w:hint="eastAsia"/>
        </w:rPr>
        <w:t>风险提示及决策</w:t>
      </w:r>
      <w:r>
        <w:tab/>
      </w:r>
      <w:r>
        <w:fldChar w:fldCharType="begin"/>
      </w:r>
      <w:r>
        <w:instrText xml:space="preserve"> PAGEREF _Toc240895598 \h </w:instrText>
      </w:r>
      <w:r>
        <w:fldChar w:fldCharType="separate"/>
      </w:r>
      <w:r>
        <w:t>6</w:t>
      </w:r>
      <w:r>
        <w:fldChar w:fldCharType="end"/>
      </w:r>
      <w:r>
        <w:fldChar w:fldCharType="end"/>
      </w:r>
    </w:p>
    <w:p w14:paraId="50F1A823">
      <w:pPr>
        <w:pStyle w:val="17"/>
        <w:rPr>
          <w:rFonts w:asciiTheme="minorHAnsi" w:hAnsiTheme="minorHAnsi" w:eastAsiaTheme="minorEastAsia" w:cstheme="minorBidi"/>
          <w:b w:val="0"/>
          <w:bCs w:val="0"/>
          <w:caps w:val="0"/>
          <w:sz w:val="21"/>
          <w:szCs w:val="22"/>
        </w:rPr>
      </w:pPr>
      <w:r>
        <w:fldChar w:fldCharType="begin"/>
      </w:r>
      <w:r>
        <w:instrText xml:space="preserve"> HYPERLINK \l "_Toc240895599" </w:instrText>
      </w:r>
      <w:r>
        <w:fldChar w:fldCharType="separate"/>
      </w:r>
      <w:r>
        <w:rPr>
          <w:rStyle w:val="29"/>
        </w:rPr>
        <w:t>4.</w:t>
      </w:r>
      <w:r>
        <w:rPr>
          <w:rFonts w:asciiTheme="minorHAnsi" w:hAnsiTheme="minorHAnsi" w:eastAsiaTheme="minorEastAsia" w:cstheme="minorBidi"/>
          <w:b w:val="0"/>
          <w:bCs w:val="0"/>
          <w:caps w:val="0"/>
          <w:sz w:val="21"/>
          <w:szCs w:val="22"/>
        </w:rPr>
        <w:tab/>
      </w:r>
      <w:r>
        <w:rPr>
          <w:rStyle w:val="29"/>
          <w:rFonts w:hint="eastAsia"/>
        </w:rPr>
        <w:t>价款及支付方式</w:t>
      </w:r>
      <w:r>
        <w:tab/>
      </w:r>
      <w:r>
        <w:fldChar w:fldCharType="begin"/>
      </w:r>
      <w:r>
        <w:instrText xml:space="preserve"> PAGEREF _Toc240895599 \h </w:instrText>
      </w:r>
      <w:r>
        <w:fldChar w:fldCharType="separate"/>
      </w:r>
      <w:r>
        <w:t>8</w:t>
      </w:r>
      <w:r>
        <w:fldChar w:fldCharType="end"/>
      </w:r>
      <w:r>
        <w:fldChar w:fldCharType="end"/>
      </w:r>
    </w:p>
    <w:p w14:paraId="61CC3A07">
      <w:pPr>
        <w:pStyle w:val="17"/>
        <w:rPr>
          <w:rFonts w:asciiTheme="minorHAnsi" w:hAnsiTheme="minorHAnsi" w:eastAsiaTheme="minorEastAsia" w:cstheme="minorBidi"/>
          <w:b w:val="0"/>
          <w:bCs w:val="0"/>
          <w:caps w:val="0"/>
          <w:sz w:val="21"/>
          <w:szCs w:val="22"/>
        </w:rPr>
      </w:pPr>
      <w:r>
        <w:fldChar w:fldCharType="begin"/>
      </w:r>
      <w:r>
        <w:instrText xml:space="preserve"> HYPERLINK \l "_Toc240895600" </w:instrText>
      </w:r>
      <w:r>
        <w:fldChar w:fldCharType="separate"/>
      </w:r>
      <w:r>
        <w:rPr>
          <w:rStyle w:val="29"/>
        </w:rPr>
        <w:t>5.</w:t>
      </w:r>
      <w:r>
        <w:rPr>
          <w:rFonts w:asciiTheme="minorHAnsi" w:hAnsiTheme="minorHAnsi" w:eastAsiaTheme="minorEastAsia" w:cstheme="minorBidi"/>
          <w:b w:val="0"/>
          <w:bCs w:val="0"/>
          <w:caps w:val="0"/>
          <w:sz w:val="21"/>
          <w:szCs w:val="22"/>
        </w:rPr>
        <w:tab/>
      </w:r>
      <w:r>
        <w:rPr>
          <w:rStyle w:val="29"/>
          <w:rFonts w:hint="eastAsia"/>
        </w:rPr>
        <w:t>过渡期安排</w:t>
      </w:r>
      <w:r>
        <w:tab/>
      </w:r>
      <w:r>
        <w:fldChar w:fldCharType="begin"/>
      </w:r>
      <w:r>
        <w:instrText xml:space="preserve"> PAGEREF _Toc240895600 \h </w:instrText>
      </w:r>
      <w:r>
        <w:fldChar w:fldCharType="separate"/>
      </w:r>
      <w:r>
        <w:t>10</w:t>
      </w:r>
      <w:r>
        <w:fldChar w:fldCharType="end"/>
      </w:r>
      <w:r>
        <w:fldChar w:fldCharType="end"/>
      </w:r>
    </w:p>
    <w:p w14:paraId="72DB0D49">
      <w:pPr>
        <w:pStyle w:val="17"/>
        <w:rPr>
          <w:rFonts w:asciiTheme="minorHAnsi" w:hAnsiTheme="minorHAnsi" w:eastAsiaTheme="minorEastAsia" w:cstheme="minorBidi"/>
          <w:b w:val="0"/>
          <w:bCs w:val="0"/>
          <w:caps w:val="0"/>
          <w:sz w:val="21"/>
          <w:szCs w:val="22"/>
        </w:rPr>
      </w:pPr>
      <w:r>
        <w:fldChar w:fldCharType="begin"/>
      </w:r>
      <w:r>
        <w:instrText xml:space="preserve"> HYPERLINK \l "_Toc240895601" </w:instrText>
      </w:r>
      <w:r>
        <w:fldChar w:fldCharType="separate"/>
      </w:r>
      <w:r>
        <w:rPr>
          <w:rStyle w:val="29"/>
        </w:rPr>
        <w:t>6.</w:t>
      </w:r>
      <w:r>
        <w:rPr>
          <w:rFonts w:asciiTheme="minorHAnsi" w:hAnsiTheme="minorHAnsi" w:eastAsiaTheme="minorEastAsia" w:cstheme="minorBidi"/>
          <w:b w:val="0"/>
          <w:bCs w:val="0"/>
          <w:caps w:val="0"/>
          <w:sz w:val="21"/>
          <w:szCs w:val="22"/>
        </w:rPr>
        <w:tab/>
      </w:r>
      <w:r>
        <w:rPr>
          <w:rStyle w:val="29"/>
          <w:rFonts w:hint="eastAsia"/>
        </w:rPr>
        <w:t>标的资产的交割及合作事项</w:t>
      </w:r>
      <w:r>
        <w:tab/>
      </w:r>
      <w:r>
        <w:fldChar w:fldCharType="begin"/>
      </w:r>
      <w:r>
        <w:instrText xml:space="preserve"> PAGEREF _Toc240895601 \h </w:instrText>
      </w:r>
      <w:r>
        <w:fldChar w:fldCharType="separate"/>
      </w:r>
      <w:r>
        <w:t>12</w:t>
      </w:r>
      <w:r>
        <w:fldChar w:fldCharType="end"/>
      </w:r>
      <w:r>
        <w:fldChar w:fldCharType="end"/>
      </w:r>
    </w:p>
    <w:p w14:paraId="58999531">
      <w:pPr>
        <w:pStyle w:val="17"/>
        <w:rPr>
          <w:rFonts w:asciiTheme="minorHAnsi" w:hAnsiTheme="minorHAnsi" w:eastAsiaTheme="minorEastAsia" w:cstheme="minorBidi"/>
          <w:b w:val="0"/>
          <w:bCs w:val="0"/>
          <w:caps w:val="0"/>
          <w:sz w:val="21"/>
          <w:szCs w:val="22"/>
        </w:rPr>
      </w:pPr>
      <w:r>
        <w:fldChar w:fldCharType="begin"/>
      </w:r>
      <w:r>
        <w:instrText xml:space="preserve"> HYPERLINK \l "_Toc240895602" </w:instrText>
      </w:r>
      <w:r>
        <w:fldChar w:fldCharType="separate"/>
      </w:r>
      <w:r>
        <w:rPr>
          <w:rStyle w:val="29"/>
        </w:rPr>
        <w:t>7.</w:t>
      </w:r>
      <w:r>
        <w:rPr>
          <w:rFonts w:asciiTheme="minorHAnsi" w:hAnsiTheme="minorHAnsi" w:eastAsiaTheme="minorEastAsia" w:cstheme="minorBidi"/>
          <w:b w:val="0"/>
          <w:bCs w:val="0"/>
          <w:caps w:val="0"/>
          <w:sz w:val="21"/>
          <w:szCs w:val="22"/>
        </w:rPr>
        <w:tab/>
      </w:r>
      <w:r>
        <w:rPr>
          <w:rStyle w:val="29"/>
          <w:rFonts w:hint="eastAsia"/>
        </w:rPr>
        <w:t>债权转让通知</w:t>
      </w:r>
      <w:r>
        <w:tab/>
      </w:r>
      <w:r>
        <w:fldChar w:fldCharType="begin"/>
      </w:r>
      <w:r>
        <w:instrText xml:space="preserve"> PAGEREF _Toc240895602 \h </w:instrText>
      </w:r>
      <w:r>
        <w:fldChar w:fldCharType="separate"/>
      </w:r>
      <w:r>
        <w:t>15</w:t>
      </w:r>
      <w:r>
        <w:fldChar w:fldCharType="end"/>
      </w:r>
      <w:r>
        <w:fldChar w:fldCharType="end"/>
      </w:r>
    </w:p>
    <w:p w14:paraId="16FD5364">
      <w:pPr>
        <w:pStyle w:val="17"/>
        <w:rPr>
          <w:rFonts w:asciiTheme="minorHAnsi" w:hAnsiTheme="minorHAnsi" w:eastAsiaTheme="minorEastAsia" w:cstheme="minorBidi"/>
          <w:b w:val="0"/>
          <w:bCs w:val="0"/>
          <w:caps w:val="0"/>
          <w:sz w:val="21"/>
          <w:szCs w:val="22"/>
        </w:rPr>
      </w:pPr>
      <w:r>
        <w:fldChar w:fldCharType="begin"/>
      </w:r>
      <w:r>
        <w:instrText xml:space="preserve"> HYPERLINK \l "_Toc240895603" </w:instrText>
      </w:r>
      <w:r>
        <w:fldChar w:fldCharType="separate"/>
      </w:r>
      <w:r>
        <w:rPr>
          <w:rStyle w:val="29"/>
        </w:rPr>
        <w:t>8.</w:t>
      </w:r>
      <w:r>
        <w:rPr>
          <w:rFonts w:asciiTheme="minorHAnsi" w:hAnsiTheme="minorHAnsi" w:eastAsiaTheme="minorEastAsia" w:cstheme="minorBidi"/>
          <w:b w:val="0"/>
          <w:bCs w:val="0"/>
          <w:caps w:val="0"/>
          <w:sz w:val="21"/>
          <w:szCs w:val="22"/>
        </w:rPr>
        <w:tab/>
      </w:r>
      <w:r>
        <w:rPr>
          <w:rStyle w:val="29"/>
          <w:rFonts w:hint="eastAsia"/>
        </w:rPr>
        <w:t>税费承担</w:t>
      </w:r>
      <w:r>
        <w:tab/>
      </w:r>
      <w:r>
        <w:fldChar w:fldCharType="begin"/>
      </w:r>
      <w:r>
        <w:instrText xml:space="preserve"> PAGEREF _Toc240895603 \h </w:instrText>
      </w:r>
      <w:r>
        <w:fldChar w:fldCharType="separate"/>
      </w:r>
      <w:r>
        <w:t>15</w:t>
      </w:r>
      <w:r>
        <w:fldChar w:fldCharType="end"/>
      </w:r>
      <w:r>
        <w:fldChar w:fldCharType="end"/>
      </w:r>
    </w:p>
    <w:p w14:paraId="0F74EDF6">
      <w:pPr>
        <w:pStyle w:val="17"/>
        <w:rPr>
          <w:rFonts w:asciiTheme="minorHAnsi" w:hAnsiTheme="minorHAnsi" w:eastAsiaTheme="minorEastAsia" w:cstheme="minorBidi"/>
          <w:b w:val="0"/>
          <w:bCs w:val="0"/>
          <w:caps w:val="0"/>
          <w:sz w:val="21"/>
          <w:szCs w:val="22"/>
        </w:rPr>
      </w:pPr>
      <w:r>
        <w:fldChar w:fldCharType="begin"/>
      </w:r>
      <w:r>
        <w:instrText xml:space="preserve"> HYPERLINK \l "_Toc240895604" </w:instrText>
      </w:r>
      <w:r>
        <w:fldChar w:fldCharType="separate"/>
      </w:r>
      <w:r>
        <w:rPr>
          <w:rStyle w:val="29"/>
        </w:rPr>
        <w:t>9.</w:t>
      </w:r>
      <w:r>
        <w:rPr>
          <w:rFonts w:asciiTheme="minorHAnsi" w:hAnsiTheme="minorHAnsi" w:eastAsiaTheme="minorEastAsia" w:cstheme="minorBidi"/>
          <w:b w:val="0"/>
          <w:bCs w:val="0"/>
          <w:caps w:val="0"/>
          <w:sz w:val="21"/>
          <w:szCs w:val="22"/>
        </w:rPr>
        <w:tab/>
      </w:r>
      <w:r>
        <w:rPr>
          <w:rStyle w:val="29"/>
          <w:rFonts w:hint="eastAsia"/>
        </w:rPr>
        <w:t>甲方的声明和保证</w:t>
      </w:r>
      <w:r>
        <w:tab/>
      </w:r>
      <w:r>
        <w:fldChar w:fldCharType="begin"/>
      </w:r>
      <w:r>
        <w:instrText xml:space="preserve"> PAGEREF _Toc240895604 \h </w:instrText>
      </w:r>
      <w:r>
        <w:fldChar w:fldCharType="separate"/>
      </w:r>
      <w:r>
        <w:t>15</w:t>
      </w:r>
      <w:r>
        <w:fldChar w:fldCharType="end"/>
      </w:r>
      <w:r>
        <w:fldChar w:fldCharType="end"/>
      </w:r>
    </w:p>
    <w:p w14:paraId="13D9A68D">
      <w:pPr>
        <w:pStyle w:val="17"/>
        <w:rPr>
          <w:rFonts w:asciiTheme="minorHAnsi" w:hAnsiTheme="minorHAnsi" w:eastAsiaTheme="minorEastAsia" w:cstheme="minorBidi"/>
          <w:b w:val="0"/>
          <w:bCs w:val="0"/>
          <w:caps w:val="0"/>
          <w:sz w:val="21"/>
          <w:szCs w:val="22"/>
        </w:rPr>
      </w:pPr>
      <w:r>
        <w:fldChar w:fldCharType="begin"/>
      </w:r>
      <w:r>
        <w:instrText xml:space="preserve"> HYPERLINK \l "_Toc240895605" </w:instrText>
      </w:r>
      <w:r>
        <w:fldChar w:fldCharType="separate"/>
      </w:r>
      <w:r>
        <w:rPr>
          <w:rStyle w:val="29"/>
        </w:rPr>
        <w:t>10.</w:t>
      </w:r>
      <w:r>
        <w:rPr>
          <w:rFonts w:asciiTheme="minorHAnsi" w:hAnsiTheme="minorHAnsi" w:eastAsiaTheme="minorEastAsia" w:cstheme="minorBidi"/>
          <w:b w:val="0"/>
          <w:bCs w:val="0"/>
          <w:caps w:val="0"/>
          <w:sz w:val="21"/>
          <w:szCs w:val="22"/>
        </w:rPr>
        <w:tab/>
      </w:r>
      <w:r>
        <w:rPr>
          <w:rStyle w:val="29"/>
          <w:rFonts w:hint="eastAsia"/>
        </w:rPr>
        <w:t>乙方的声明和保证</w:t>
      </w:r>
      <w:r>
        <w:tab/>
      </w:r>
      <w:r>
        <w:fldChar w:fldCharType="begin"/>
      </w:r>
      <w:r>
        <w:instrText xml:space="preserve"> PAGEREF _Toc240895605 \h </w:instrText>
      </w:r>
      <w:r>
        <w:fldChar w:fldCharType="separate"/>
      </w:r>
      <w:r>
        <w:t>16</w:t>
      </w:r>
      <w:r>
        <w:fldChar w:fldCharType="end"/>
      </w:r>
      <w:r>
        <w:fldChar w:fldCharType="end"/>
      </w:r>
    </w:p>
    <w:p w14:paraId="1FD71AD5">
      <w:pPr>
        <w:pStyle w:val="17"/>
        <w:rPr>
          <w:rFonts w:asciiTheme="minorHAnsi" w:hAnsiTheme="minorHAnsi" w:eastAsiaTheme="minorEastAsia" w:cstheme="minorBidi"/>
          <w:b w:val="0"/>
          <w:bCs w:val="0"/>
          <w:caps w:val="0"/>
          <w:sz w:val="21"/>
          <w:szCs w:val="22"/>
        </w:rPr>
      </w:pPr>
      <w:r>
        <w:fldChar w:fldCharType="begin"/>
      </w:r>
      <w:r>
        <w:instrText xml:space="preserve"> HYPERLINK \l "_Toc240895606" </w:instrText>
      </w:r>
      <w:r>
        <w:fldChar w:fldCharType="separate"/>
      </w:r>
      <w:r>
        <w:rPr>
          <w:rStyle w:val="29"/>
        </w:rPr>
        <w:t>11.</w:t>
      </w:r>
      <w:r>
        <w:rPr>
          <w:rFonts w:asciiTheme="minorHAnsi" w:hAnsiTheme="minorHAnsi" w:eastAsiaTheme="minorEastAsia" w:cstheme="minorBidi"/>
          <w:b w:val="0"/>
          <w:bCs w:val="0"/>
          <w:caps w:val="0"/>
          <w:sz w:val="21"/>
          <w:szCs w:val="22"/>
        </w:rPr>
        <w:tab/>
      </w:r>
      <w:r>
        <w:rPr>
          <w:rStyle w:val="29"/>
          <w:rFonts w:hint="eastAsia"/>
        </w:rPr>
        <w:t>违约责任</w:t>
      </w:r>
      <w:r>
        <w:tab/>
      </w:r>
      <w:r>
        <w:fldChar w:fldCharType="begin"/>
      </w:r>
      <w:r>
        <w:instrText xml:space="preserve"> PAGEREF _Toc240895606 \h </w:instrText>
      </w:r>
      <w:r>
        <w:fldChar w:fldCharType="separate"/>
      </w:r>
      <w:r>
        <w:t>20</w:t>
      </w:r>
      <w:r>
        <w:fldChar w:fldCharType="end"/>
      </w:r>
      <w:r>
        <w:fldChar w:fldCharType="end"/>
      </w:r>
    </w:p>
    <w:p w14:paraId="1A2D2C48">
      <w:pPr>
        <w:pStyle w:val="17"/>
        <w:rPr>
          <w:rFonts w:asciiTheme="minorHAnsi" w:hAnsiTheme="minorHAnsi" w:eastAsiaTheme="minorEastAsia" w:cstheme="minorBidi"/>
          <w:b w:val="0"/>
          <w:bCs w:val="0"/>
          <w:caps w:val="0"/>
          <w:sz w:val="21"/>
          <w:szCs w:val="22"/>
        </w:rPr>
      </w:pPr>
      <w:r>
        <w:fldChar w:fldCharType="begin"/>
      </w:r>
      <w:r>
        <w:instrText xml:space="preserve"> HYPERLINK \l "_Toc240895607" </w:instrText>
      </w:r>
      <w:r>
        <w:fldChar w:fldCharType="separate"/>
      </w:r>
      <w:r>
        <w:rPr>
          <w:rStyle w:val="29"/>
        </w:rPr>
        <w:t>12.</w:t>
      </w:r>
      <w:r>
        <w:rPr>
          <w:rFonts w:asciiTheme="minorHAnsi" w:hAnsiTheme="minorHAnsi" w:eastAsiaTheme="minorEastAsia" w:cstheme="minorBidi"/>
          <w:b w:val="0"/>
          <w:bCs w:val="0"/>
          <w:caps w:val="0"/>
          <w:sz w:val="21"/>
          <w:szCs w:val="22"/>
        </w:rPr>
        <w:tab/>
      </w:r>
      <w:r>
        <w:rPr>
          <w:rStyle w:val="29"/>
          <w:rFonts w:hint="eastAsia"/>
        </w:rPr>
        <w:t>不可抗力</w:t>
      </w:r>
      <w:r>
        <w:tab/>
      </w:r>
      <w:r>
        <w:fldChar w:fldCharType="begin"/>
      </w:r>
      <w:r>
        <w:instrText xml:space="preserve"> PAGEREF _Toc240895607 \h </w:instrText>
      </w:r>
      <w:r>
        <w:fldChar w:fldCharType="separate"/>
      </w:r>
      <w:r>
        <w:t>21</w:t>
      </w:r>
      <w:r>
        <w:fldChar w:fldCharType="end"/>
      </w:r>
      <w:r>
        <w:fldChar w:fldCharType="end"/>
      </w:r>
    </w:p>
    <w:p w14:paraId="520883E5">
      <w:pPr>
        <w:pStyle w:val="17"/>
        <w:rPr>
          <w:rFonts w:asciiTheme="minorHAnsi" w:hAnsiTheme="minorHAnsi" w:eastAsiaTheme="minorEastAsia" w:cstheme="minorBidi"/>
          <w:b w:val="0"/>
          <w:bCs w:val="0"/>
          <w:caps w:val="0"/>
          <w:sz w:val="21"/>
          <w:szCs w:val="22"/>
        </w:rPr>
      </w:pPr>
      <w:r>
        <w:fldChar w:fldCharType="begin"/>
      </w:r>
      <w:r>
        <w:instrText xml:space="preserve"> HYPERLINK \l "_Toc240895608" </w:instrText>
      </w:r>
      <w:r>
        <w:fldChar w:fldCharType="separate"/>
      </w:r>
      <w:r>
        <w:rPr>
          <w:rStyle w:val="29"/>
        </w:rPr>
        <w:t>13.</w:t>
      </w:r>
      <w:r>
        <w:rPr>
          <w:rFonts w:asciiTheme="minorHAnsi" w:hAnsiTheme="minorHAnsi" w:eastAsiaTheme="minorEastAsia" w:cstheme="minorBidi"/>
          <w:b w:val="0"/>
          <w:bCs w:val="0"/>
          <w:caps w:val="0"/>
          <w:sz w:val="21"/>
          <w:szCs w:val="22"/>
        </w:rPr>
        <w:tab/>
      </w:r>
      <w:r>
        <w:rPr>
          <w:rStyle w:val="29"/>
          <w:rFonts w:hint="eastAsia"/>
        </w:rPr>
        <w:t>保密</w:t>
      </w:r>
      <w:r>
        <w:tab/>
      </w:r>
      <w:r>
        <w:fldChar w:fldCharType="begin"/>
      </w:r>
      <w:r>
        <w:instrText xml:space="preserve"> PAGEREF _Toc240895608 \h </w:instrText>
      </w:r>
      <w:r>
        <w:fldChar w:fldCharType="separate"/>
      </w:r>
      <w:r>
        <w:t>21</w:t>
      </w:r>
      <w:r>
        <w:fldChar w:fldCharType="end"/>
      </w:r>
      <w:r>
        <w:fldChar w:fldCharType="end"/>
      </w:r>
    </w:p>
    <w:p w14:paraId="2BB8DBCF">
      <w:pPr>
        <w:pStyle w:val="17"/>
        <w:rPr>
          <w:rFonts w:asciiTheme="minorHAnsi" w:hAnsiTheme="minorHAnsi" w:eastAsiaTheme="minorEastAsia" w:cstheme="minorBidi"/>
          <w:b w:val="0"/>
          <w:bCs w:val="0"/>
          <w:caps w:val="0"/>
          <w:sz w:val="21"/>
          <w:szCs w:val="22"/>
        </w:rPr>
      </w:pPr>
      <w:r>
        <w:fldChar w:fldCharType="begin"/>
      </w:r>
      <w:r>
        <w:instrText xml:space="preserve"> HYPERLINK \l "_Toc240895609" </w:instrText>
      </w:r>
      <w:r>
        <w:fldChar w:fldCharType="separate"/>
      </w:r>
      <w:r>
        <w:rPr>
          <w:rStyle w:val="29"/>
        </w:rPr>
        <w:t>14.</w:t>
      </w:r>
      <w:r>
        <w:rPr>
          <w:rFonts w:asciiTheme="minorHAnsi" w:hAnsiTheme="minorHAnsi" w:eastAsiaTheme="minorEastAsia" w:cstheme="minorBidi"/>
          <w:b w:val="0"/>
          <w:bCs w:val="0"/>
          <w:caps w:val="0"/>
          <w:sz w:val="21"/>
          <w:szCs w:val="22"/>
        </w:rPr>
        <w:tab/>
      </w:r>
      <w:r>
        <w:rPr>
          <w:rStyle w:val="29"/>
          <w:rFonts w:hint="eastAsia"/>
        </w:rPr>
        <w:t>权利保留</w:t>
      </w:r>
      <w:r>
        <w:tab/>
      </w:r>
      <w:r>
        <w:fldChar w:fldCharType="begin"/>
      </w:r>
      <w:r>
        <w:instrText xml:space="preserve"> PAGEREF _Toc240895609 \h </w:instrText>
      </w:r>
      <w:r>
        <w:fldChar w:fldCharType="separate"/>
      </w:r>
      <w:r>
        <w:t>22</w:t>
      </w:r>
      <w:r>
        <w:fldChar w:fldCharType="end"/>
      </w:r>
      <w:r>
        <w:fldChar w:fldCharType="end"/>
      </w:r>
    </w:p>
    <w:p w14:paraId="6DD55216">
      <w:pPr>
        <w:pStyle w:val="17"/>
        <w:rPr>
          <w:rFonts w:asciiTheme="minorHAnsi" w:hAnsiTheme="minorHAnsi" w:eastAsiaTheme="minorEastAsia" w:cstheme="minorBidi"/>
          <w:b w:val="0"/>
          <w:bCs w:val="0"/>
          <w:caps w:val="0"/>
          <w:sz w:val="21"/>
          <w:szCs w:val="22"/>
        </w:rPr>
      </w:pPr>
      <w:r>
        <w:fldChar w:fldCharType="begin"/>
      </w:r>
      <w:r>
        <w:instrText xml:space="preserve"> HYPERLINK \l "_Toc240895610" </w:instrText>
      </w:r>
      <w:r>
        <w:fldChar w:fldCharType="separate"/>
      </w:r>
      <w:r>
        <w:rPr>
          <w:rStyle w:val="29"/>
        </w:rPr>
        <w:t>15.</w:t>
      </w:r>
      <w:r>
        <w:rPr>
          <w:rFonts w:asciiTheme="minorHAnsi" w:hAnsiTheme="minorHAnsi" w:eastAsiaTheme="minorEastAsia" w:cstheme="minorBidi"/>
          <w:b w:val="0"/>
          <w:bCs w:val="0"/>
          <w:caps w:val="0"/>
          <w:sz w:val="21"/>
          <w:szCs w:val="22"/>
        </w:rPr>
        <w:tab/>
      </w:r>
      <w:r>
        <w:rPr>
          <w:rStyle w:val="29"/>
          <w:rFonts w:hint="eastAsia"/>
        </w:rPr>
        <w:t>权利、义务的转让</w:t>
      </w:r>
      <w:r>
        <w:tab/>
      </w:r>
      <w:r>
        <w:fldChar w:fldCharType="begin"/>
      </w:r>
      <w:r>
        <w:instrText xml:space="preserve"> PAGEREF _Toc240895610 \h </w:instrText>
      </w:r>
      <w:r>
        <w:fldChar w:fldCharType="separate"/>
      </w:r>
      <w:r>
        <w:t>22</w:t>
      </w:r>
      <w:r>
        <w:fldChar w:fldCharType="end"/>
      </w:r>
      <w:r>
        <w:fldChar w:fldCharType="end"/>
      </w:r>
    </w:p>
    <w:p w14:paraId="2BBB178B">
      <w:pPr>
        <w:pStyle w:val="17"/>
        <w:rPr>
          <w:rFonts w:asciiTheme="minorHAnsi" w:hAnsiTheme="minorHAnsi" w:eastAsiaTheme="minorEastAsia" w:cstheme="minorBidi"/>
          <w:b w:val="0"/>
          <w:bCs w:val="0"/>
          <w:caps w:val="0"/>
          <w:sz w:val="21"/>
          <w:szCs w:val="22"/>
        </w:rPr>
      </w:pPr>
      <w:r>
        <w:fldChar w:fldCharType="begin"/>
      </w:r>
      <w:r>
        <w:instrText xml:space="preserve"> HYPERLINK \l "_Toc240895611" </w:instrText>
      </w:r>
      <w:r>
        <w:fldChar w:fldCharType="separate"/>
      </w:r>
      <w:r>
        <w:rPr>
          <w:rStyle w:val="29"/>
        </w:rPr>
        <w:t>16.</w:t>
      </w:r>
      <w:r>
        <w:rPr>
          <w:rFonts w:asciiTheme="minorHAnsi" w:hAnsiTheme="minorHAnsi" w:eastAsiaTheme="minorEastAsia" w:cstheme="minorBidi"/>
          <w:b w:val="0"/>
          <w:bCs w:val="0"/>
          <w:caps w:val="0"/>
          <w:sz w:val="21"/>
          <w:szCs w:val="22"/>
        </w:rPr>
        <w:tab/>
      </w:r>
      <w:r>
        <w:rPr>
          <w:rStyle w:val="29"/>
          <w:rFonts w:hint="eastAsia"/>
        </w:rPr>
        <w:t>协议变更、解除及终止</w:t>
      </w:r>
      <w:r>
        <w:tab/>
      </w:r>
      <w:r>
        <w:fldChar w:fldCharType="begin"/>
      </w:r>
      <w:r>
        <w:instrText xml:space="preserve"> PAGEREF _Toc240895611 \h </w:instrText>
      </w:r>
      <w:r>
        <w:fldChar w:fldCharType="separate"/>
      </w:r>
      <w:r>
        <w:t>22</w:t>
      </w:r>
      <w:r>
        <w:fldChar w:fldCharType="end"/>
      </w:r>
      <w:r>
        <w:fldChar w:fldCharType="end"/>
      </w:r>
    </w:p>
    <w:p w14:paraId="43830B95">
      <w:pPr>
        <w:pStyle w:val="17"/>
        <w:rPr>
          <w:rFonts w:asciiTheme="minorHAnsi" w:hAnsiTheme="minorHAnsi" w:eastAsiaTheme="minorEastAsia" w:cstheme="minorBidi"/>
          <w:b w:val="0"/>
          <w:bCs w:val="0"/>
          <w:caps w:val="0"/>
          <w:sz w:val="21"/>
          <w:szCs w:val="22"/>
        </w:rPr>
      </w:pPr>
      <w:r>
        <w:fldChar w:fldCharType="begin"/>
      </w:r>
      <w:r>
        <w:instrText xml:space="preserve"> HYPERLINK \l "_Toc240895612" </w:instrText>
      </w:r>
      <w:r>
        <w:fldChar w:fldCharType="separate"/>
      </w:r>
      <w:r>
        <w:rPr>
          <w:rStyle w:val="29"/>
        </w:rPr>
        <w:t>17.</w:t>
      </w:r>
      <w:r>
        <w:rPr>
          <w:rFonts w:asciiTheme="minorHAnsi" w:hAnsiTheme="minorHAnsi" w:eastAsiaTheme="minorEastAsia" w:cstheme="minorBidi"/>
          <w:b w:val="0"/>
          <w:bCs w:val="0"/>
          <w:caps w:val="0"/>
          <w:sz w:val="21"/>
          <w:szCs w:val="22"/>
        </w:rPr>
        <w:tab/>
      </w:r>
      <w:r>
        <w:rPr>
          <w:rStyle w:val="29"/>
          <w:rFonts w:hint="eastAsia"/>
        </w:rPr>
        <w:t>通知与送达</w:t>
      </w:r>
      <w:r>
        <w:tab/>
      </w:r>
      <w:r>
        <w:fldChar w:fldCharType="begin"/>
      </w:r>
      <w:r>
        <w:instrText xml:space="preserve"> PAGEREF _Toc240895612 \h </w:instrText>
      </w:r>
      <w:r>
        <w:fldChar w:fldCharType="separate"/>
      </w:r>
      <w:r>
        <w:t>23</w:t>
      </w:r>
      <w:r>
        <w:fldChar w:fldCharType="end"/>
      </w:r>
      <w:r>
        <w:fldChar w:fldCharType="end"/>
      </w:r>
    </w:p>
    <w:p w14:paraId="1560360A">
      <w:pPr>
        <w:pStyle w:val="17"/>
        <w:rPr>
          <w:rFonts w:asciiTheme="minorHAnsi" w:hAnsiTheme="minorHAnsi" w:eastAsiaTheme="minorEastAsia" w:cstheme="minorBidi"/>
          <w:b w:val="0"/>
          <w:bCs w:val="0"/>
          <w:caps w:val="0"/>
          <w:sz w:val="21"/>
          <w:szCs w:val="22"/>
        </w:rPr>
      </w:pPr>
      <w:r>
        <w:fldChar w:fldCharType="begin"/>
      </w:r>
      <w:r>
        <w:instrText xml:space="preserve"> HYPERLINK \l "_Toc240895613" </w:instrText>
      </w:r>
      <w:r>
        <w:fldChar w:fldCharType="separate"/>
      </w:r>
      <w:r>
        <w:rPr>
          <w:rStyle w:val="29"/>
        </w:rPr>
        <w:t>18.</w:t>
      </w:r>
      <w:r>
        <w:rPr>
          <w:rFonts w:asciiTheme="minorHAnsi" w:hAnsiTheme="minorHAnsi" w:eastAsiaTheme="minorEastAsia" w:cstheme="minorBidi"/>
          <w:b w:val="0"/>
          <w:bCs w:val="0"/>
          <w:caps w:val="0"/>
          <w:sz w:val="21"/>
          <w:szCs w:val="22"/>
        </w:rPr>
        <w:tab/>
      </w:r>
      <w:r>
        <w:rPr>
          <w:rStyle w:val="29"/>
          <w:rFonts w:hint="eastAsia"/>
        </w:rPr>
        <w:t>法律适用和争议解决</w:t>
      </w:r>
      <w:r>
        <w:tab/>
      </w:r>
      <w:r>
        <w:fldChar w:fldCharType="begin"/>
      </w:r>
      <w:r>
        <w:instrText xml:space="preserve"> PAGEREF _Toc240895613 \h </w:instrText>
      </w:r>
      <w:r>
        <w:fldChar w:fldCharType="separate"/>
      </w:r>
      <w:r>
        <w:t>25</w:t>
      </w:r>
      <w:r>
        <w:fldChar w:fldCharType="end"/>
      </w:r>
      <w:r>
        <w:fldChar w:fldCharType="end"/>
      </w:r>
    </w:p>
    <w:p w14:paraId="2705C81E">
      <w:pPr>
        <w:pStyle w:val="17"/>
        <w:rPr>
          <w:rFonts w:asciiTheme="minorHAnsi" w:hAnsiTheme="minorHAnsi" w:eastAsiaTheme="minorEastAsia" w:cstheme="minorBidi"/>
          <w:b w:val="0"/>
          <w:bCs w:val="0"/>
          <w:caps w:val="0"/>
          <w:sz w:val="21"/>
          <w:szCs w:val="22"/>
        </w:rPr>
      </w:pPr>
      <w:r>
        <w:fldChar w:fldCharType="begin"/>
      </w:r>
      <w:r>
        <w:instrText xml:space="preserve"> HYPERLINK \l "_Toc240895614" </w:instrText>
      </w:r>
      <w:r>
        <w:fldChar w:fldCharType="separate"/>
      </w:r>
      <w:r>
        <w:rPr>
          <w:rStyle w:val="29"/>
        </w:rPr>
        <w:t>19.</w:t>
      </w:r>
      <w:r>
        <w:rPr>
          <w:rFonts w:asciiTheme="minorHAnsi" w:hAnsiTheme="minorHAnsi" w:eastAsiaTheme="minorEastAsia" w:cstheme="minorBidi"/>
          <w:b w:val="0"/>
          <w:bCs w:val="0"/>
          <w:caps w:val="0"/>
          <w:sz w:val="21"/>
          <w:szCs w:val="22"/>
        </w:rPr>
        <w:tab/>
      </w:r>
      <w:r>
        <w:rPr>
          <w:rStyle w:val="29"/>
          <w:rFonts w:hint="eastAsia"/>
        </w:rPr>
        <w:t>其它</w:t>
      </w:r>
      <w:r>
        <w:tab/>
      </w:r>
      <w:r>
        <w:fldChar w:fldCharType="begin"/>
      </w:r>
      <w:r>
        <w:instrText xml:space="preserve"> PAGEREF _Toc240895614 \h </w:instrText>
      </w:r>
      <w:r>
        <w:fldChar w:fldCharType="separate"/>
      </w:r>
      <w:r>
        <w:t>25</w:t>
      </w:r>
      <w:r>
        <w:fldChar w:fldCharType="end"/>
      </w:r>
      <w:r>
        <w:fldChar w:fldCharType="end"/>
      </w:r>
    </w:p>
    <w:p w14:paraId="23DB005D">
      <w:pPr>
        <w:pStyle w:val="17"/>
        <w:rPr>
          <w:rFonts w:asciiTheme="minorHAnsi" w:hAnsiTheme="minorHAnsi" w:eastAsiaTheme="minorEastAsia" w:cstheme="minorBidi"/>
          <w:b w:val="0"/>
          <w:bCs w:val="0"/>
          <w:caps w:val="0"/>
          <w:sz w:val="21"/>
          <w:szCs w:val="22"/>
        </w:rPr>
      </w:pPr>
      <w:r>
        <w:fldChar w:fldCharType="begin"/>
      </w:r>
      <w:r>
        <w:instrText xml:space="preserve"> HYPERLINK \l "_Toc240895615" </w:instrText>
      </w:r>
      <w:r>
        <w:fldChar w:fldCharType="separate"/>
      </w:r>
      <w:r>
        <w:rPr>
          <w:rStyle w:val="29"/>
        </w:rPr>
        <w:t>20.</w:t>
      </w:r>
      <w:r>
        <w:rPr>
          <w:rFonts w:asciiTheme="minorHAnsi" w:hAnsiTheme="minorHAnsi" w:eastAsiaTheme="minorEastAsia" w:cstheme="minorBidi"/>
          <w:b w:val="0"/>
          <w:bCs w:val="0"/>
          <w:caps w:val="0"/>
          <w:sz w:val="21"/>
          <w:szCs w:val="22"/>
        </w:rPr>
        <w:tab/>
      </w:r>
      <w:r>
        <w:rPr>
          <w:rStyle w:val="29"/>
          <w:rFonts w:hint="eastAsia"/>
        </w:rPr>
        <w:t>本协议附件</w:t>
      </w:r>
      <w:r>
        <w:tab/>
      </w:r>
      <w:r>
        <w:fldChar w:fldCharType="begin"/>
      </w:r>
      <w:r>
        <w:instrText xml:space="preserve"> PAGEREF _Toc240895615 \h </w:instrText>
      </w:r>
      <w:r>
        <w:fldChar w:fldCharType="separate"/>
      </w:r>
      <w:r>
        <w:t>26</w:t>
      </w:r>
      <w:r>
        <w:fldChar w:fldCharType="end"/>
      </w:r>
      <w:r>
        <w:fldChar w:fldCharType="end"/>
      </w:r>
    </w:p>
    <w:p w14:paraId="23A9C4FB">
      <w:pPr>
        <w:pStyle w:val="17"/>
        <w:rPr>
          <w:rFonts w:asciiTheme="minorHAnsi" w:hAnsiTheme="minorHAnsi" w:eastAsiaTheme="minorEastAsia" w:cstheme="minorBidi"/>
          <w:b w:val="0"/>
          <w:bCs w:val="0"/>
          <w:caps w:val="0"/>
          <w:sz w:val="21"/>
          <w:szCs w:val="22"/>
        </w:rPr>
      </w:pPr>
      <w:r>
        <w:fldChar w:fldCharType="begin"/>
      </w:r>
      <w:r>
        <w:instrText xml:space="preserve"> HYPERLINK \l "_Toc240895616" </w:instrText>
      </w:r>
      <w:r>
        <w:fldChar w:fldCharType="separate"/>
      </w:r>
      <w:r>
        <w:rPr>
          <w:rStyle w:val="29"/>
          <w:rFonts w:hint="eastAsia"/>
        </w:rPr>
        <w:t>附件</w:t>
      </w:r>
      <w:r>
        <w:rPr>
          <w:rStyle w:val="29"/>
        </w:rPr>
        <w:t xml:space="preserve">1    </w:t>
      </w:r>
      <w:r>
        <w:rPr>
          <w:rStyle w:val="29"/>
          <w:rFonts w:hint="eastAsia"/>
        </w:rPr>
        <w:t>标的资产清单</w:t>
      </w:r>
      <w:r>
        <w:tab/>
      </w:r>
      <w:r>
        <w:fldChar w:fldCharType="begin"/>
      </w:r>
      <w:r>
        <w:instrText xml:space="preserve"> PAGEREF _Toc240895616 \h </w:instrText>
      </w:r>
      <w:r>
        <w:fldChar w:fldCharType="separate"/>
      </w:r>
      <w:r>
        <w:t>28</w:t>
      </w:r>
      <w:r>
        <w:fldChar w:fldCharType="end"/>
      </w:r>
      <w:r>
        <w:fldChar w:fldCharType="end"/>
      </w:r>
    </w:p>
    <w:p w14:paraId="42F698D1">
      <w:pPr>
        <w:pStyle w:val="17"/>
        <w:rPr>
          <w:rFonts w:asciiTheme="minorHAnsi" w:hAnsiTheme="minorHAnsi" w:eastAsiaTheme="minorEastAsia" w:cstheme="minorBidi"/>
          <w:b w:val="0"/>
          <w:bCs w:val="0"/>
          <w:caps w:val="0"/>
          <w:sz w:val="21"/>
          <w:szCs w:val="22"/>
        </w:rPr>
      </w:pPr>
      <w:r>
        <w:fldChar w:fldCharType="begin"/>
      </w:r>
      <w:r>
        <w:instrText xml:space="preserve"> HYPERLINK \l "_Toc240895617" </w:instrText>
      </w:r>
      <w:r>
        <w:fldChar w:fldCharType="separate"/>
      </w:r>
      <w:r>
        <w:rPr>
          <w:rStyle w:val="29"/>
          <w:rFonts w:hint="eastAsia"/>
        </w:rPr>
        <w:t>附件</w:t>
      </w:r>
      <w:r>
        <w:rPr>
          <w:rStyle w:val="29"/>
        </w:rPr>
        <w:t xml:space="preserve">2    </w:t>
      </w:r>
      <w:r>
        <w:rPr>
          <w:rStyle w:val="29"/>
          <w:rFonts w:hint="eastAsia"/>
        </w:rPr>
        <w:t>第三方协议清单</w:t>
      </w:r>
      <w:r>
        <w:tab/>
      </w:r>
      <w:r>
        <w:fldChar w:fldCharType="begin"/>
      </w:r>
      <w:r>
        <w:instrText xml:space="preserve"> PAGEREF _Toc240895617 \h </w:instrText>
      </w:r>
      <w:r>
        <w:fldChar w:fldCharType="separate"/>
      </w:r>
      <w:r>
        <w:t>29</w:t>
      </w:r>
      <w:r>
        <w:fldChar w:fldCharType="end"/>
      </w:r>
      <w:r>
        <w:fldChar w:fldCharType="end"/>
      </w:r>
    </w:p>
    <w:p w14:paraId="09515648">
      <w:pPr>
        <w:pStyle w:val="17"/>
        <w:rPr>
          <w:rFonts w:asciiTheme="minorHAnsi" w:hAnsiTheme="minorHAnsi" w:eastAsiaTheme="minorEastAsia" w:cstheme="minorBidi"/>
          <w:b w:val="0"/>
          <w:bCs w:val="0"/>
          <w:caps w:val="0"/>
          <w:sz w:val="21"/>
          <w:szCs w:val="22"/>
        </w:rPr>
      </w:pPr>
      <w:r>
        <w:fldChar w:fldCharType="begin"/>
      </w:r>
      <w:r>
        <w:instrText xml:space="preserve"> HYPERLINK \l "_Toc240895618" </w:instrText>
      </w:r>
      <w:r>
        <w:fldChar w:fldCharType="separate"/>
      </w:r>
      <w:r>
        <w:rPr>
          <w:rStyle w:val="29"/>
          <w:rFonts w:hint="eastAsia"/>
        </w:rPr>
        <w:t>附件</w:t>
      </w:r>
      <w:r>
        <w:rPr>
          <w:rStyle w:val="29"/>
        </w:rPr>
        <w:t xml:space="preserve">3    </w:t>
      </w:r>
      <w:r>
        <w:rPr>
          <w:rStyle w:val="29"/>
          <w:rFonts w:hint="eastAsia"/>
        </w:rPr>
        <w:t>关于资产转让的确认函</w:t>
      </w:r>
      <w:r>
        <w:tab/>
      </w:r>
      <w:r>
        <w:fldChar w:fldCharType="begin"/>
      </w:r>
      <w:r>
        <w:instrText xml:space="preserve"> PAGEREF _Toc240895618 \h </w:instrText>
      </w:r>
      <w:r>
        <w:fldChar w:fldCharType="separate"/>
      </w:r>
      <w:r>
        <w:t>30</w:t>
      </w:r>
      <w:r>
        <w:fldChar w:fldCharType="end"/>
      </w:r>
      <w:r>
        <w:fldChar w:fldCharType="end"/>
      </w:r>
    </w:p>
    <w:p w14:paraId="0DF062BE">
      <w:pPr>
        <w:spacing w:after="240" w:afterLines="100" w:line="360" w:lineRule="auto"/>
        <w:rPr>
          <w:caps/>
          <w:sz w:val="24"/>
          <w:szCs w:val="24"/>
        </w:rPr>
        <w:sectPr>
          <w:footerReference r:id="rId3" w:type="default"/>
          <w:pgSz w:w="11907" w:h="16839"/>
          <w:pgMar w:top="1440" w:right="1800" w:bottom="820" w:left="1800" w:header="720" w:footer="720" w:gutter="0"/>
          <w:pgNumType w:start="1" w:chapStyle="1"/>
          <w:cols w:space="720" w:num="1"/>
        </w:sectPr>
      </w:pPr>
      <w:r>
        <w:rPr>
          <w:caps/>
          <w:sz w:val="23"/>
          <w:szCs w:val="23"/>
        </w:rPr>
        <w:fldChar w:fldCharType="end"/>
      </w:r>
    </w:p>
    <w:p w14:paraId="5EA3E53B">
      <w:pPr>
        <w:spacing w:after="240" w:afterLines="100" w:line="300" w:lineRule="auto"/>
        <w:rPr>
          <w:sz w:val="23"/>
        </w:rPr>
        <w:sectPr>
          <w:footerReference r:id="rId4" w:type="default"/>
          <w:pgSz w:w="11907" w:h="16839"/>
          <w:pgMar w:top="1440" w:right="1800" w:bottom="820" w:left="1800" w:header="720" w:footer="720" w:gutter="0"/>
          <w:pgNumType w:start="1"/>
          <w:cols w:space="720" w:num="1"/>
        </w:sectPr>
      </w:pPr>
    </w:p>
    <w:p w14:paraId="07CC7483">
      <w:pPr>
        <w:spacing w:after="240" w:afterLines="100" w:line="300" w:lineRule="auto"/>
        <w:rPr>
          <w:sz w:val="23"/>
        </w:rPr>
      </w:pPr>
      <w:r>
        <w:rPr>
          <w:sz w:val="23"/>
        </w:rPr>
        <w:t>本资产转让协议（以下简称</w:t>
      </w:r>
      <w:r>
        <w:rPr>
          <w:bCs/>
          <w:sz w:val="23"/>
        </w:rPr>
        <w:t>本协议</w:t>
      </w:r>
      <w:r>
        <w:rPr>
          <w:sz w:val="23"/>
        </w:rPr>
        <w:t>）由下列主体</w:t>
      </w:r>
      <w:r>
        <w:rPr>
          <w:sz w:val="23"/>
          <w:szCs w:val="24"/>
        </w:rPr>
        <w:t>签署：</w:t>
      </w:r>
    </w:p>
    <w:p w14:paraId="092F716C">
      <w:pPr>
        <w:pStyle w:val="32"/>
        <w:spacing w:after="240" w:afterLines="100" w:line="300" w:lineRule="auto"/>
        <w:ind w:left="693" w:hanging="693" w:hangingChars="300"/>
        <w:jc w:val="both"/>
        <w:rPr>
          <w:rFonts w:ascii="Times New Roman"/>
          <w:b/>
          <w:sz w:val="23"/>
          <w:szCs w:val="23"/>
        </w:rPr>
      </w:pPr>
      <w:r>
        <w:rPr>
          <w:rFonts w:hint="eastAsia"/>
          <w:b/>
          <w:sz w:val="23"/>
          <w:szCs w:val="23"/>
        </w:rPr>
        <w:t>甲方</w:t>
      </w:r>
      <w:r>
        <w:rPr>
          <w:b/>
          <w:sz w:val="23"/>
          <w:szCs w:val="23"/>
        </w:rPr>
        <w:t>：中国东方资产管理股份有限公司</w:t>
      </w:r>
      <w:r>
        <w:rPr>
          <w:rFonts w:hint="eastAsia"/>
          <w:b/>
          <w:sz w:val="23"/>
          <w:szCs w:val="23"/>
        </w:rPr>
        <w:t>山东省</w:t>
      </w:r>
      <w:r>
        <w:rPr>
          <w:b/>
          <w:sz w:val="23"/>
          <w:szCs w:val="23"/>
        </w:rPr>
        <w:t>分公司</w:t>
      </w:r>
    </w:p>
    <w:p w14:paraId="7BF3908D">
      <w:pPr>
        <w:pStyle w:val="32"/>
        <w:spacing w:after="240" w:afterLines="100" w:line="300" w:lineRule="auto"/>
        <w:jc w:val="both"/>
        <w:rPr>
          <w:rFonts w:ascii="Times New Roman"/>
          <w:b/>
          <w:sz w:val="23"/>
          <w:szCs w:val="23"/>
        </w:rPr>
      </w:pPr>
      <w:r>
        <w:rPr>
          <w:rFonts w:hint="eastAsia"/>
          <w:b/>
          <w:sz w:val="23"/>
          <w:szCs w:val="23"/>
        </w:rPr>
        <w:t>住所</w:t>
      </w:r>
      <w:r>
        <w:rPr>
          <w:b/>
          <w:sz w:val="23"/>
          <w:szCs w:val="23"/>
        </w:rPr>
        <w:t>：</w:t>
      </w:r>
      <w:r>
        <w:rPr>
          <w:rFonts w:hint="eastAsia"/>
          <w:b/>
          <w:sz w:val="23"/>
          <w:szCs w:val="23"/>
        </w:rPr>
        <w:t>青岛市市南区香港中路</w:t>
      </w:r>
      <w:r>
        <w:rPr>
          <w:rFonts w:hint="eastAsia" w:ascii="Times New Roman"/>
          <w:b/>
          <w:sz w:val="23"/>
          <w:szCs w:val="23"/>
        </w:rPr>
        <w:t>6</w:t>
      </w:r>
      <w:r>
        <w:rPr>
          <w:rFonts w:hint="eastAsia"/>
          <w:b/>
          <w:sz w:val="23"/>
          <w:szCs w:val="23"/>
        </w:rPr>
        <w:t>号甲</w:t>
      </w:r>
      <w:r>
        <w:rPr>
          <w:rFonts w:hint="eastAsia" w:ascii="Times New Roman"/>
          <w:b/>
          <w:sz w:val="23"/>
          <w:szCs w:val="23"/>
        </w:rPr>
        <w:t>3</w:t>
      </w:r>
      <w:r>
        <w:rPr>
          <w:rFonts w:hint="eastAsia"/>
          <w:b/>
          <w:sz w:val="23"/>
          <w:szCs w:val="23"/>
        </w:rPr>
        <w:t>楼</w:t>
      </w:r>
    </w:p>
    <w:p w14:paraId="1E4EEB06">
      <w:pPr>
        <w:pStyle w:val="32"/>
        <w:spacing w:after="240" w:afterLines="100" w:line="300" w:lineRule="auto"/>
        <w:jc w:val="both"/>
        <w:rPr>
          <w:rFonts w:ascii="Times New Roman"/>
          <w:b/>
          <w:sz w:val="23"/>
          <w:szCs w:val="23"/>
        </w:rPr>
      </w:pPr>
      <w:r>
        <w:rPr>
          <w:b/>
          <w:sz w:val="23"/>
          <w:szCs w:val="23"/>
        </w:rPr>
        <w:t>负责人：</w:t>
      </w:r>
      <w:r>
        <w:rPr>
          <w:rFonts w:hint="eastAsia"/>
          <w:b/>
          <w:sz w:val="23"/>
          <w:szCs w:val="23"/>
        </w:rPr>
        <w:t>潘晖</w:t>
      </w:r>
      <w:r>
        <w:rPr>
          <w:rFonts w:ascii="Times New Roman"/>
          <w:b/>
          <w:color w:val="auto"/>
          <w:sz w:val="23"/>
        </w:rPr>
        <w:t xml:space="preserve"> </w:t>
      </w:r>
    </w:p>
    <w:p w14:paraId="470375F7">
      <w:pPr>
        <w:pStyle w:val="32"/>
        <w:spacing w:after="240" w:afterLines="100" w:line="300" w:lineRule="auto"/>
        <w:ind w:left="693" w:hanging="693" w:hangingChars="300"/>
        <w:jc w:val="both"/>
        <w:rPr>
          <w:rFonts w:ascii="Times New Roman"/>
          <w:b/>
          <w:color w:val="auto"/>
          <w:sz w:val="23"/>
        </w:rPr>
      </w:pPr>
    </w:p>
    <w:p w14:paraId="13AAAADC">
      <w:pPr>
        <w:pStyle w:val="32"/>
        <w:spacing w:after="240" w:afterLines="100" w:line="300" w:lineRule="auto"/>
        <w:ind w:left="693" w:hanging="693" w:hangingChars="300"/>
        <w:jc w:val="both"/>
        <w:rPr>
          <w:rFonts w:ascii="Times New Roman"/>
          <w:b/>
          <w:color w:val="auto"/>
          <w:sz w:val="23"/>
        </w:rPr>
      </w:pPr>
      <w:r>
        <w:rPr>
          <w:rFonts w:hint="eastAsia" w:ascii="Times New Roman"/>
          <w:b/>
          <w:color w:val="auto"/>
          <w:sz w:val="23"/>
        </w:rPr>
        <w:t>乙方：</w:t>
      </w:r>
    </w:p>
    <w:p w14:paraId="7A07A9E1">
      <w:pPr>
        <w:pStyle w:val="32"/>
        <w:spacing w:after="240" w:afterLines="100" w:line="300" w:lineRule="auto"/>
        <w:jc w:val="both"/>
        <w:rPr>
          <w:rFonts w:ascii="Times New Roman"/>
          <w:b/>
          <w:color w:val="auto"/>
          <w:sz w:val="23"/>
        </w:rPr>
      </w:pPr>
      <w:r>
        <w:rPr>
          <w:rFonts w:hint="eastAsia" w:ascii="Times New Roman"/>
          <w:b/>
          <w:color w:val="auto"/>
          <w:sz w:val="23"/>
        </w:rPr>
        <w:t>住所</w:t>
      </w:r>
      <w:r>
        <w:rPr>
          <w:rFonts w:ascii="Times New Roman"/>
          <w:b/>
          <w:color w:val="auto"/>
          <w:sz w:val="23"/>
        </w:rPr>
        <w:t xml:space="preserve">： </w:t>
      </w:r>
    </w:p>
    <w:p w14:paraId="3B0D3166">
      <w:pPr>
        <w:pStyle w:val="32"/>
        <w:spacing w:after="240" w:afterLines="100" w:line="300" w:lineRule="auto"/>
        <w:jc w:val="both"/>
        <w:rPr>
          <w:rFonts w:ascii="Times New Roman"/>
          <w:b/>
          <w:color w:val="auto"/>
          <w:sz w:val="23"/>
        </w:rPr>
      </w:pPr>
      <w:r>
        <w:rPr>
          <w:rFonts w:ascii="Times New Roman"/>
          <w:b/>
          <w:color w:val="auto"/>
          <w:sz w:val="23"/>
        </w:rPr>
        <w:t xml:space="preserve">法定代表人（负责人）： </w:t>
      </w:r>
    </w:p>
    <w:p w14:paraId="2ECB001D">
      <w:pPr>
        <w:pStyle w:val="32"/>
        <w:spacing w:after="240" w:afterLines="100" w:line="300" w:lineRule="auto"/>
        <w:ind w:left="690" w:hanging="690" w:hangingChars="300"/>
        <w:jc w:val="both"/>
        <w:rPr>
          <w:rFonts w:ascii="Times New Roman"/>
          <w:color w:val="auto"/>
          <w:sz w:val="23"/>
        </w:rPr>
      </w:pPr>
      <w:r>
        <w:rPr>
          <w:rFonts w:ascii="Times New Roman"/>
          <w:color w:val="auto"/>
          <w:sz w:val="23"/>
        </w:rPr>
        <w:t>（上述主体单称一方，合称双方。）</w:t>
      </w:r>
    </w:p>
    <w:p w14:paraId="6B80D7CE">
      <w:pPr>
        <w:pStyle w:val="32"/>
        <w:spacing w:after="240" w:afterLines="100" w:line="300" w:lineRule="auto"/>
        <w:ind w:left="693" w:hanging="693" w:hangingChars="300"/>
        <w:jc w:val="both"/>
        <w:rPr>
          <w:rFonts w:ascii="Times New Roman"/>
          <w:color w:val="auto"/>
          <w:sz w:val="23"/>
        </w:rPr>
      </w:pPr>
      <w:r>
        <w:rPr>
          <w:rFonts w:ascii="Times New Roman"/>
          <w:b/>
          <w:bCs/>
          <w:kern w:val="2"/>
          <w:sz w:val="23"/>
        </w:rPr>
        <w:t>鉴于：</w:t>
      </w:r>
    </w:p>
    <w:p w14:paraId="1812F79E">
      <w:pPr>
        <w:pStyle w:val="32"/>
        <w:numPr>
          <w:ilvl w:val="0"/>
          <w:numId w:val="3"/>
        </w:numPr>
        <w:spacing w:after="240" w:afterLines="100" w:line="300" w:lineRule="auto"/>
        <w:jc w:val="both"/>
        <w:rPr>
          <w:rFonts w:ascii="Times New Roman"/>
          <w:color w:val="auto"/>
          <w:kern w:val="2"/>
          <w:sz w:val="23"/>
        </w:rPr>
      </w:pPr>
      <w:r>
        <w:rPr>
          <w:rFonts w:hint="eastAsia" w:ascii="Times New Roman"/>
          <w:color w:val="auto"/>
          <w:kern w:val="2"/>
          <w:sz w:val="23"/>
        </w:rPr>
        <w:t>甲方享有潍坊恒安散热器集团有限公司债权不良资产</w:t>
      </w:r>
      <w:r>
        <w:rPr>
          <w:rFonts w:hint="eastAsia" w:hAnsi="宋体"/>
          <w:color w:val="auto"/>
          <w:kern w:val="2"/>
          <w:sz w:val="23"/>
        </w:rPr>
        <w:t>。甲方现</w:t>
      </w:r>
      <w:r>
        <w:rPr>
          <w:rFonts w:hAnsi="宋体"/>
          <w:color w:val="auto"/>
          <w:kern w:val="2"/>
          <w:sz w:val="23"/>
        </w:rPr>
        <w:t>拟将上述其所享有的</w:t>
      </w:r>
      <w:r>
        <w:rPr>
          <w:rFonts w:hint="eastAsia" w:hAnsi="宋体"/>
          <w:color w:val="auto"/>
          <w:kern w:val="2"/>
          <w:sz w:val="23"/>
        </w:rPr>
        <w:t>不良资产</w:t>
      </w:r>
      <w:r>
        <w:rPr>
          <w:rFonts w:hAnsi="宋体"/>
          <w:color w:val="auto"/>
          <w:kern w:val="2"/>
          <w:sz w:val="23"/>
        </w:rPr>
        <w:t>整体对外</w:t>
      </w:r>
      <w:r>
        <w:rPr>
          <w:rFonts w:hint="eastAsia" w:hAnsi="宋体"/>
          <w:color w:val="auto"/>
          <w:kern w:val="2"/>
          <w:sz w:val="23"/>
        </w:rPr>
        <w:t>转让，标的资产</w:t>
      </w:r>
      <w:r>
        <w:rPr>
          <w:rFonts w:hAnsi="宋体"/>
          <w:color w:val="auto"/>
          <w:kern w:val="2"/>
          <w:sz w:val="23"/>
        </w:rPr>
        <w:t>详见</w:t>
      </w:r>
      <w:r>
        <w:rPr>
          <w:rFonts w:ascii="Times New Roman"/>
          <w:color w:val="auto"/>
          <w:kern w:val="2"/>
          <w:sz w:val="23"/>
        </w:rPr>
        <w:t>本协议附件1《标的资产清单》</w:t>
      </w:r>
      <w:r>
        <w:rPr>
          <w:rFonts w:hint="eastAsia" w:ascii="Times New Roman"/>
          <w:color w:val="auto"/>
          <w:kern w:val="2"/>
          <w:sz w:val="23"/>
        </w:rPr>
        <w:t>。</w:t>
      </w:r>
    </w:p>
    <w:p w14:paraId="24D03222">
      <w:pPr>
        <w:numPr>
          <w:ilvl w:val="0"/>
          <w:numId w:val="3"/>
        </w:numPr>
        <w:spacing w:before="240" w:beforeLines="100"/>
        <w:rPr>
          <w:sz w:val="23"/>
          <w:szCs w:val="24"/>
        </w:rPr>
      </w:pPr>
      <w:r>
        <w:rPr>
          <w:sz w:val="23"/>
        </w:rPr>
        <w:t>甲方</w:t>
      </w:r>
      <w:r>
        <w:rPr>
          <w:rFonts w:hint="eastAsia"/>
          <w:sz w:val="23"/>
          <w:szCs w:val="24"/>
        </w:rPr>
        <w:t>同意按照本协议约定转让且乙方同意按照本协议约定受让本协议项下的标的资产。</w:t>
      </w:r>
    </w:p>
    <w:p w14:paraId="65BEADC6">
      <w:pPr>
        <w:pStyle w:val="36"/>
        <w:spacing w:before="240" w:beforeLines="100" w:after="240" w:afterLines="100" w:line="300" w:lineRule="auto"/>
        <w:jc w:val="both"/>
        <w:rPr>
          <w:rFonts w:ascii="Times New Roman"/>
          <w:bCs/>
          <w:kern w:val="2"/>
          <w:sz w:val="23"/>
        </w:rPr>
      </w:pPr>
      <w:r>
        <w:rPr>
          <w:rFonts w:ascii="Times New Roman"/>
          <w:bCs/>
          <w:kern w:val="2"/>
          <w:sz w:val="23"/>
        </w:rPr>
        <w:t>为明确双方的权利义务和责任，甲方和乙方在平等自愿、等价有偿的基础上，遵循实际履行和诚实信用原则，依据相关法律规定，经友好协商一致，达成以下条款，以资共同遵守。</w:t>
      </w:r>
    </w:p>
    <w:p w14:paraId="5ADF303C">
      <w:pPr>
        <w:pStyle w:val="32"/>
        <w:numPr>
          <w:ilvl w:val="0"/>
          <w:numId w:val="4"/>
        </w:numPr>
        <w:spacing w:after="240" w:afterLines="100" w:line="300" w:lineRule="auto"/>
        <w:jc w:val="both"/>
        <w:outlineLvl w:val="0"/>
        <w:rPr>
          <w:rFonts w:ascii="Times New Roman"/>
          <w:b/>
          <w:color w:val="auto"/>
          <w:kern w:val="2"/>
          <w:sz w:val="23"/>
          <w:szCs w:val="28"/>
        </w:rPr>
      </w:pPr>
      <w:bookmarkStart w:id="0" w:name="_Toc467844810"/>
      <w:bookmarkStart w:id="1" w:name="_Toc240895596"/>
      <w:bookmarkStart w:id="2" w:name="_Toc134689151"/>
      <w:r>
        <w:rPr>
          <w:rFonts w:ascii="Times New Roman"/>
          <w:b/>
          <w:bCs/>
          <w:color w:val="auto"/>
          <w:kern w:val="2"/>
          <w:sz w:val="23"/>
          <w:szCs w:val="28"/>
        </w:rPr>
        <w:t>定义</w:t>
      </w:r>
      <w:bookmarkEnd w:id="0"/>
      <w:bookmarkEnd w:id="1"/>
      <w:bookmarkEnd w:id="2"/>
    </w:p>
    <w:p w14:paraId="16854865">
      <w:pPr>
        <w:pStyle w:val="32"/>
        <w:numPr>
          <w:ilvl w:val="1"/>
          <w:numId w:val="4"/>
        </w:numPr>
        <w:spacing w:after="240" w:afterLines="100" w:line="300" w:lineRule="auto"/>
        <w:jc w:val="both"/>
        <w:outlineLvl w:val="1"/>
        <w:rPr>
          <w:rFonts w:ascii="Times New Roman"/>
          <w:color w:val="auto"/>
          <w:kern w:val="2"/>
          <w:sz w:val="23"/>
        </w:rPr>
      </w:pPr>
      <w:bookmarkStart w:id="3" w:name="_Toc143073600"/>
      <w:r>
        <w:rPr>
          <w:rFonts w:hint="eastAsia" w:ascii="Times New Roman"/>
          <w:color w:val="auto"/>
          <w:kern w:val="2"/>
          <w:sz w:val="23"/>
        </w:rPr>
        <w:t>本协议：指本协议及其附件，包括协议双方对本协议修改、变更和补充而共同签署的书面文件。</w:t>
      </w:r>
    </w:p>
    <w:p w14:paraId="6015A84B">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标的资产：指本协议《标的资产清单》（详见</w:t>
      </w:r>
      <w:r>
        <w:rPr>
          <w:rFonts w:ascii="Times New Roman"/>
          <w:color w:val="auto"/>
          <w:kern w:val="2"/>
          <w:sz w:val="23"/>
        </w:rPr>
        <w:t>本协议附件1，下同</w:t>
      </w:r>
      <w:r>
        <w:rPr>
          <w:rFonts w:hint="eastAsia" w:ascii="Times New Roman"/>
          <w:color w:val="auto"/>
          <w:kern w:val="2"/>
          <w:sz w:val="23"/>
        </w:rPr>
        <w:t>）中所列明的全部不良资产，该等不良资产为截至基准日的债权资产、由债权资产转化而成的抵债资产和其他相关权益以及其他资产的统称；或根据上下文需要，系指任何单项标的资产。标的资产以外币计价的，应当折算为人民币，汇率按照【基准日中国人民银行公布的当日汇率中间价】计算。</w:t>
      </w:r>
    </w:p>
    <w:p w14:paraId="53E18015">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债权资产：指甲方对《标的资产清单》所列示的义务人享有的并依法可向乙方转让的主债权及保证债权、抵押权、质权等从权利。债权资产的法律形态可能在多次处置后已经发生变化，可能为抵债协议、</w:t>
      </w:r>
      <w:r>
        <w:rPr>
          <w:rFonts w:hint="eastAsia"/>
          <w:color w:val="auto"/>
          <w:sz w:val="23"/>
        </w:rPr>
        <w:t>判令、判决、裁定或</w:t>
      </w:r>
      <w:r>
        <w:rPr>
          <w:color w:val="auto"/>
          <w:sz w:val="23"/>
        </w:rPr>
        <w:t>裁决</w:t>
      </w:r>
      <w:r>
        <w:rPr>
          <w:rFonts w:hint="eastAsia" w:ascii="Times New Roman"/>
          <w:color w:val="auto"/>
          <w:kern w:val="2"/>
          <w:sz w:val="23"/>
        </w:rPr>
        <w:t>项下取得抵债资产所依据的债权。债权资产可能还包括超过主张权利法定期间的自然债权、对破产终结企业的债权（指对或有追加分配的期待权）以及其他形式的债权。</w:t>
      </w:r>
    </w:p>
    <w:p w14:paraId="3AFCC4F7">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主债权：指截至基准日《</w:t>
      </w:r>
      <w:r>
        <w:rPr>
          <w:rFonts w:hint="eastAsia"/>
          <w:color w:val="auto"/>
          <w:sz w:val="23"/>
        </w:rPr>
        <w:t>标的资产清单</w:t>
      </w:r>
      <w:r>
        <w:rPr>
          <w:rFonts w:hint="eastAsia" w:ascii="Times New Roman"/>
          <w:color w:val="auto"/>
          <w:kern w:val="2"/>
          <w:sz w:val="23"/>
        </w:rPr>
        <w:t>》所列示的甲方对债务人享有的并依法可向乙方转让的债权（包含债权本金、利息及相关资产文件项下的其他权利）。</w:t>
      </w:r>
    </w:p>
    <w:p w14:paraId="703C5021">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从权利：指与主债权相关的保证债权、抵押权、质权等附属权利。</w:t>
      </w:r>
    </w:p>
    <w:p w14:paraId="4D9D05C9">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债务人：指《标的资产清单》中所列的任一债权资产项下的债务人，以及该等债务人的受让人及承继人。</w:t>
      </w:r>
    </w:p>
    <w:p w14:paraId="371CE33A">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担保人：指为担保债务人履行《标的资产清单》所列之债权资产项下债务而提供担保的保证人、抵押人、质押人、留置人及具有担保性质的合同或法律文书的义务人的全部、部分或任一。</w:t>
      </w:r>
    </w:p>
    <w:p w14:paraId="0906F572">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义务人：指债务人、担保人、赔偿责任人或其他对标的资产权利人承担法定或约定义务的人，单独或者合称义务人。义务人包括本协议《标的资产清单》所列明的原债权债务合同项下的义务人或者经债务转移/承继/加入后替代或应当替代原义务人或与原义务人一并承担债务之公司/企业、其他组织（包括清算组织）、自然人的全部、部分或任一。本协议下的义务人不包括中国政府。</w:t>
      </w:r>
    </w:p>
    <w:p w14:paraId="3F52DE17">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主合同：就任何标的资产而言，指能够证明在该资产项下甲方及前手向债务人提供贷款的贷款合同和/或证明甲方对债务人享有债权的其他书面文件。</w:t>
      </w:r>
    </w:p>
    <w:p w14:paraId="6BEDE554">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担保合同：指保证合同、物权担保合同及其他具有担保性质的合同或法律文件的合称。</w:t>
      </w:r>
    </w:p>
    <w:p w14:paraId="30B7BC7D">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第三方协议：指转让方签署的或由转让方自其任何前手承继的为管理、保全或处置标的资产而与任何中介机构签署的尚未终止或存在争议的相关服务协议或合同，详见附件2《第三方协议清单》</w:t>
      </w:r>
    </w:p>
    <w:p w14:paraId="1DBF0359">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处置</w:t>
      </w:r>
      <w:r>
        <w:rPr>
          <w:rFonts w:ascii="Times New Roman"/>
          <w:color w:val="auto"/>
          <w:kern w:val="2"/>
          <w:sz w:val="23"/>
        </w:rPr>
        <w:t>收入：</w:t>
      </w:r>
      <w:r>
        <w:rPr>
          <w:rFonts w:hint="eastAsia" w:ascii="Times New Roman"/>
          <w:color w:val="auto"/>
          <w:kern w:val="2"/>
          <w:sz w:val="23"/>
        </w:rPr>
        <w:t>指</w:t>
      </w:r>
      <w:r>
        <w:rPr>
          <w:rFonts w:ascii="Times New Roman"/>
          <w:color w:val="auto"/>
          <w:kern w:val="2"/>
          <w:sz w:val="23"/>
        </w:rPr>
        <w:t>现金处置收入和非现金处置收入的合称。</w:t>
      </w:r>
      <w:r>
        <w:rPr>
          <w:rFonts w:hint="eastAsia" w:ascii="Times New Roman"/>
          <w:color w:val="auto"/>
          <w:kern w:val="2"/>
          <w:sz w:val="23"/>
        </w:rPr>
        <w:t>其中现金处置收入指甲方自基准日起的任何期间内，就该标的资产所实际收到第三方用于收购全部或部分该等标的资产所支付转让对价或义务人用于偿还该等标的资产的本金和/或利息、罚息、违约金、费用等全部现金形式的收入；非现金处置收入指甲方自基准日起的任何期间内，就该标的资产所实际收到的第三方用于收购全部或部分该等标的资产所支付转让对价或义务人用于偿还该等标的资产的本金和/或利息、罚息、违约金、费用等全部非现金形式的收入。</w:t>
      </w:r>
    </w:p>
    <w:p w14:paraId="279F8B0A">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处置费用：指自基准日起的</w:t>
      </w:r>
      <w:r>
        <w:rPr>
          <w:rFonts w:ascii="Times New Roman"/>
          <w:color w:val="auto"/>
          <w:kern w:val="2"/>
          <w:sz w:val="23"/>
        </w:rPr>
        <w:t>任何期间</w:t>
      </w:r>
      <w:r>
        <w:rPr>
          <w:rFonts w:hint="eastAsia" w:ascii="Times New Roman"/>
          <w:color w:val="auto"/>
          <w:kern w:val="2"/>
          <w:sz w:val="23"/>
        </w:rPr>
        <w:t>，在管理、</w:t>
      </w:r>
      <w:r>
        <w:rPr>
          <w:rFonts w:ascii="Times New Roman"/>
          <w:color w:val="auto"/>
          <w:kern w:val="2"/>
          <w:sz w:val="23"/>
        </w:rPr>
        <w:t>维护和</w:t>
      </w:r>
      <w:r>
        <w:rPr>
          <w:rFonts w:hint="eastAsia" w:ascii="Times New Roman"/>
          <w:color w:val="auto"/>
          <w:kern w:val="2"/>
          <w:sz w:val="23"/>
        </w:rPr>
        <w:t>处置标的资产过程中发生的所有费用和开支，包括但不限于为资产管理、维护和处置【及</w:t>
      </w:r>
      <w:r>
        <w:rPr>
          <w:rFonts w:ascii="Times New Roman"/>
          <w:color w:val="auto"/>
          <w:kern w:val="2"/>
          <w:sz w:val="23"/>
        </w:rPr>
        <w:t>为完成本次交易</w:t>
      </w:r>
      <w:r>
        <w:rPr>
          <w:rFonts w:hint="eastAsia" w:ascii="Times New Roman"/>
          <w:color w:val="auto"/>
          <w:kern w:val="2"/>
          <w:sz w:val="23"/>
        </w:rPr>
        <w:t>】所发生的诉讼费、保全费、执行费、律师费、评估费、拍卖费、公告费、</w:t>
      </w:r>
      <w:r>
        <w:rPr>
          <w:rFonts w:ascii="Times New Roman"/>
          <w:color w:val="auto"/>
          <w:kern w:val="2"/>
          <w:sz w:val="23"/>
        </w:rPr>
        <w:t>顾问费</w:t>
      </w:r>
      <w:r>
        <w:rPr>
          <w:rFonts w:hint="eastAsia" w:ascii="Times New Roman"/>
          <w:color w:val="auto"/>
          <w:kern w:val="2"/>
          <w:sz w:val="23"/>
        </w:rPr>
        <w:t>、差旅费及因标的资产处置产生的相关税费等。</w:t>
      </w:r>
    </w:p>
    <w:p w14:paraId="0E0DFD3B">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基准日</w:t>
      </w:r>
      <w:r>
        <w:rPr>
          <w:rFonts w:ascii="Times New Roman"/>
          <w:color w:val="auto"/>
          <w:kern w:val="2"/>
          <w:sz w:val="23"/>
        </w:rPr>
        <w:t>：指甲方</w:t>
      </w:r>
      <w:r>
        <w:rPr>
          <w:rFonts w:hint="eastAsia" w:ascii="Times New Roman"/>
          <w:color w:val="auto"/>
          <w:kern w:val="2"/>
          <w:sz w:val="23"/>
        </w:rPr>
        <w:t>确定的计算标的资产本金及利息余额的日期，即【2026】年【6】月【20】日。</w:t>
      </w:r>
    </w:p>
    <w:p w14:paraId="7DDA9A83">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过渡期：指基准日至交割日之间的期间。</w:t>
      </w:r>
    </w:p>
    <w:p w14:paraId="05068196">
      <w:pPr>
        <w:pStyle w:val="32"/>
        <w:numPr>
          <w:ilvl w:val="1"/>
          <w:numId w:val="4"/>
        </w:numPr>
        <w:spacing w:after="240" w:afterLines="100" w:line="300" w:lineRule="auto"/>
        <w:outlineLvl w:val="1"/>
        <w:rPr>
          <w:rFonts w:ascii="Times New Roman"/>
          <w:color w:val="auto"/>
          <w:kern w:val="2"/>
          <w:sz w:val="23"/>
        </w:rPr>
      </w:pPr>
      <w:r>
        <w:rPr>
          <w:rFonts w:hint="eastAsia" w:ascii="Times New Roman"/>
          <w:color w:val="auto"/>
          <w:kern w:val="2"/>
          <w:sz w:val="23"/>
        </w:rPr>
        <w:t>交割日：指交割完成的日期，即甲乙双方在《关于资产转让的确认函》上盖章确认的日期或第6.3款约定的其他日期。</w:t>
      </w:r>
    </w:p>
    <w:p w14:paraId="40DC15DD">
      <w:pPr>
        <w:pStyle w:val="32"/>
        <w:numPr>
          <w:ilvl w:val="1"/>
          <w:numId w:val="4"/>
        </w:numPr>
        <w:spacing w:after="240" w:afterLines="100" w:line="300" w:lineRule="auto"/>
        <w:outlineLvl w:val="1"/>
        <w:rPr>
          <w:rFonts w:ascii="Times New Roman"/>
          <w:color w:val="auto"/>
          <w:kern w:val="2"/>
          <w:sz w:val="23"/>
        </w:rPr>
      </w:pPr>
      <w:r>
        <w:rPr>
          <w:rFonts w:hint="eastAsia" w:ascii="Times New Roman"/>
          <w:color w:val="auto"/>
          <w:kern w:val="2"/>
          <w:sz w:val="23"/>
        </w:rPr>
        <w:t>资金占用费核算期：资金占用费核算日指自本协议生效日起【每个自然季度末月的21日】、转让价款延付部分的支付日。资金占用费核算期指除首个核算期外，相邻两个资金占用费核算日之间的期间（含前一个核算日，不含后一个核算日）。首个资金占用费核算期为自【本协议生效日】（含该日）至第一个核算日（不含该日）之间的期间。</w:t>
      </w:r>
    </w:p>
    <w:p w14:paraId="6D757204">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过渡期服务费：指甲方就其在过渡期内对标的资产提供的管理、</w:t>
      </w:r>
      <w:r>
        <w:rPr>
          <w:rFonts w:ascii="Times New Roman"/>
          <w:color w:val="auto"/>
          <w:kern w:val="2"/>
          <w:sz w:val="23"/>
        </w:rPr>
        <w:t>维护和处置</w:t>
      </w:r>
      <w:r>
        <w:rPr>
          <w:rFonts w:hint="eastAsia" w:ascii="Times New Roman"/>
          <w:color w:val="auto"/>
          <w:kern w:val="2"/>
          <w:sz w:val="23"/>
        </w:rPr>
        <w:t>服务</w:t>
      </w:r>
      <w:r>
        <w:rPr>
          <w:rFonts w:ascii="Times New Roman"/>
          <w:color w:val="auto"/>
          <w:kern w:val="2"/>
          <w:sz w:val="23"/>
        </w:rPr>
        <w:t>或</w:t>
      </w:r>
      <w:r>
        <w:rPr>
          <w:rFonts w:hint="eastAsia" w:ascii="Times New Roman"/>
          <w:color w:val="auto"/>
          <w:kern w:val="2"/>
          <w:sz w:val="23"/>
        </w:rPr>
        <w:t>甲方</w:t>
      </w:r>
      <w:r>
        <w:rPr>
          <w:rFonts w:ascii="Times New Roman"/>
          <w:color w:val="auto"/>
          <w:kern w:val="2"/>
          <w:sz w:val="23"/>
        </w:rPr>
        <w:t>应乙方请求的其他</w:t>
      </w:r>
      <w:r>
        <w:rPr>
          <w:rFonts w:hint="eastAsia" w:ascii="Times New Roman"/>
          <w:color w:val="auto"/>
          <w:kern w:val="2"/>
          <w:sz w:val="23"/>
        </w:rPr>
        <w:t>服务向乙方收取的服务费，</w:t>
      </w:r>
      <w:r>
        <w:rPr>
          <w:rFonts w:ascii="Times New Roman"/>
          <w:color w:val="auto"/>
          <w:kern w:val="2"/>
          <w:sz w:val="23"/>
        </w:rPr>
        <w:t>该服务费不包含因提供</w:t>
      </w:r>
      <w:r>
        <w:rPr>
          <w:rFonts w:hint="eastAsia" w:ascii="Times New Roman"/>
          <w:color w:val="auto"/>
          <w:kern w:val="2"/>
          <w:sz w:val="23"/>
        </w:rPr>
        <w:t>前述</w:t>
      </w:r>
      <w:r>
        <w:rPr>
          <w:rFonts w:ascii="Times New Roman"/>
          <w:color w:val="auto"/>
          <w:kern w:val="2"/>
          <w:sz w:val="23"/>
        </w:rPr>
        <w:t>各项服务而产生的处置费</w:t>
      </w:r>
      <w:r>
        <w:rPr>
          <w:rFonts w:hint="eastAsia" w:ascii="Times New Roman"/>
          <w:color w:val="auto"/>
          <w:kern w:val="2"/>
          <w:sz w:val="23"/>
        </w:rPr>
        <w:t>用</w:t>
      </w:r>
      <w:r>
        <w:rPr>
          <w:rFonts w:ascii="Times New Roman"/>
          <w:color w:val="auto"/>
          <w:kern w:val="2"/>
          <w:sz w:val="23"/>
        </w:rPr>
        <w:t>。</w:t>
      </w:r>
    </w:p>
    <w:p w14:paraId="0A10FC0B">
      <w:pPr>
        <w:numPr>
          <w:ilvl w:val="1"/>
          <w:numId w:val="4"/>
        </w:numPr>
        <w:spacing w:after="240" w:afterLines="100" w:line="300" w:lineRule="auto"/>
        <w:outlineLvl w:val="1"/>
        <w:rPr>
          <w:sz w:val="23"/>
        </w:rPr>
      </w:pPr>
      <w:r>
        <w:rPr>
          <w:rFonts w:hint="eastAsia" w:ascii="宋体" w:hAnsi="宋体"/>
          <w:sz w:val="23"/>
        </w:rPr>
        <w:t>转让价</w:t>
      </w:r>
      <w:r>
        <w:rPr>
          <w:rFonts w:hint="eastAsia"/>
          <w:sz w:val="23"/>
        </w:rPr>
        <w:t>款：</w:t>
      </w:r>
      <w:r>
        <w:rPr>
          <w:rFonts w:ascii="宋体" w:hAnsi="宋体"/>
          <w:sz w:val="23"/>
        </w:rPr>
        <w:t>指依据本协议的约定，</w:t>
      </w:r>
      <w:r>
        <w:rPr>
          <w:rFonts w:hint="eastAsia"/>
          <w:sz w:val="23"/>
        </w:rPr>
        <w:t>乙方为受让标的资产而应向甲方支付的对价。</w:t>
      </w:r>
    </w:p>
    <w:p w14:paraId="4704D33C">
      <w:pPr>
        <w:numPr>
          <w:ilvl w:val="1"/>
          <w:numId w:val="4"/>
        </w:numPr>
        <w:spacing w:after="240" w:afterLines="100" w:line="300" w:lineRule="auto"/>
        <w:outlineLvl w:val="1"/>
        <w:rPr>
          <w:sz w:val="23"/>
        </w:rPr>
      </w:pPr>
      <w:r>
        <w:rPr>
          <w:rFonts w:hint="eastAsia" w:ascii="宋体" w:hAnsi="宋体"/>
          <w:sz w:val="23"/>
        </w:rPr>
        <w:t>乙方承担</w:t>
      </w:r>
      <w:r>
        <w:rPr>
          <w:rFonts w:ascii="宋体" w:hAnsi="宋体"/>
          <w:sz w:val="23"/>
        </w:rPr>
        <w:t>费用：指本协议约定的</w:t>
      </w:r>
      <w:r>
        <w:rPr>
          <w:rFonts w:hint="eastAsia" w:ascii="宋体" w:hAnsi="宋体"/>
          <w:sz w:val="23"/>
        </w:rPr>
        <w:t>除转让价款外，应</w:t>
      </w:r>
      <w:r>
        <w:rPr>
          <w:rFonts w:ascii="宋体" w:hAnsi="宋体"/>
          <w:sz w:val="23"/>
        </w:rPr>
        <w:t>由乙方承担</w:t>
      </w:r>
      <w:r>
        <w:rPr>
          <w:rFonts w:hint="eastAsia" w:ascii="宋体" w:hAnsi="宋体"/>
          <w:sz w:val="23"/>
        </w:rPr>
        <w:t>的处置</w:t>
      </w:r>
      <w:r>
        <w:rPr>
          <w:rFonts w:ascii="宋体" w:hAnsi="宋体"/>
          <w:sz w:val="23"/>
        </w:rPr>
        <w:t>费用</w:t>
      </w:r>
      <w:r>
        <w:rPr>
          <w:rFonts w:hint="eastAsia" w:ascii="宋体" w:hAnsi="宋体"/>
          <w:sz w:val="23"/>
        </w:rPr>
        <w:t>、因第三方协议产生的费用及乙方应付未付的</w:t>
      </w:r>
      <w:r>
        <w:rPr>
          <w:rFonts w:ascii="宋体" w:hAnsi="宋体"/>
          <w:sz w:val="23"/>
        </w:rPr>
        <w:t>过渡期服务费</w:t>
      </w:r>
      <w:r>
        <w:rPr>
          <w:rFonts w:hint="eastAsia" w:ascii="宋体" w:hAnsi="宋体"/>
          <w:sz w:val="23"/>
        </w:rPr>
        <w:t>、</w:t>
      </w:r>
      <w:r>
        <w:rPr>
          <w:rFonts w:ascii="宋体" w:hAnsi="宋体"/>
          <w:sz w:val="23"/>
        </w:rPr>
        <w:t>资金占用费</w:t>
      </w:r>
      <w:r>
        <w:rPr>
          <w:rFonts w:hint="eastAsia" w:ascii="宋体" w:hAnsi="宋体"/>
          <w:sz w:val="23"/>
        </w:rPr>
        <w:t>、违约金等全部应付未付款项。</w:t>
      </w:r>
      <w:r>
        <w:rPr>
          <w:rFonts w:hint="eastAsia"/>
          <w:sz w:val="23"/>
        </w:rPr>
        <w:t xml:space="preserve"> </w:t>
      </w:r>
    </w:p>
    <w:p w14:paraId="4E75C04B">
      <w:pPr>
        <w:numPr>
          <w:ilvl w:val="1"/>
          <w:numId w:val="4"/>
        </w:numPr>
        <w:spacing w:after="240" w:afterLines="100" w:line="300" w:lineRule="auto"/>
        <w:outlineLvl w:val="1"/>
        <w:rPr>
          <w:sz w:val="23"/>
        </w:rPr>
      </w:pPr>
      <w:r>
        <w:rPr>
          <w:rFonts w:hint="eastAsia"/>
          <w:sz w:val="23"/>
        </w:rPr>
        <w:t>追索权：指任何国家/地区法律下的任何请求权和/或诉权。包括但不限于通常情况下买卖合同中或者债权转让中因瑕疵担保责任或者基于一般保证及承诺，乙方可能享有的对甲方和/或前手的赔偿请求权，乙方因本协议约定或者其他可能存在的各种瑕疵而产生的追偿权利，以及对中国政府债务责任/担保责任/赔偿责任或者外债清偿责任的请求权。“不追索”指放弃“追索权”。</w:t>
      </w:r>
    </w:p>
    <w:p w14:paraId="760DEB5F">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本协议担保人</w:t>
      </w:r>
      <w:r>
        <w:rPr>
          <w:rFonts w:hint="eastAsia" w:ascii="Times New Roman"/>
          <w:color w:val="auto"/>
          <w:kern w:val="2"/>
          <w:sz w:val="23"/>
          <w:lang w:eastAsia="zh-CN"/>
        </w:rPr>
        <w:t>（</w:t>
      </w:r>
      <w:r>
        <w:rPr>
          <w:rFonts w:hint="eastAsia" w:ascii="Times New Roman"/>
          <w:color w:val="auto"/>
          <w:kern w:val="2"/>
          <w:sz w:val="23"/>
          <w:lang w:val="en-US" w:eastAsia="zh-CN"/>
        </w:rPr>
        <w:t>如有</w:t>
      </w:r>
      <w:r>
        <w:rPr>
          <w:rFonts w:hint="eastAsia" w:ascii="Times New Roman"/>
          <w:color w:val="auto"/>
          <w:kern w:val="2"/>
          <w:sz w:val="23"/>
          <w:lang w:eastAsia="zh-CN"/>
        </w:rPr>
        <w:t>）</w:t>
      </w:r>
      <w:r>
        <w:rPr>
          <w:rFonts w:hint="eastAsia" w:ascii="Times New Roman"/>
          <w:color w:val="auto"/>
          <w:kern w:val="2"/>
          <w:sz w:val="23"/>
        </w:rPr>
        <w:t>：指为担保乙方履行本协议项下的债务而提供担保的保证人、抵押人、质押人、留置人及具有担保性质的合同或法律文书的义务人的全部、部分或任一。</w:t>
      </w:r>
    </w:p>
    <w:p w14:paraId="1716B0B7">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前手：系指在甲方取得标的资产之前，合法享有标的资产的人。</w:t>
      </w:r>
    </w:p>
    <w:p w14:paraId="6B53E8A0">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关联方：指直接控制或通过一个或更多的中间方间接控制该人的其他人，或该人直接控制或通过一个或更多的中间方间接控制的其他人，或与该人共同受他人控制的其他人。在本定义中，“控制”系指直接或间接拥有该人50%以上的所有权或决策权，还指直接或间接拥有控制或事实上控制该人的管理和决策的权力，无论这种权力通过持有有投票权的股票或以契约或其他方式持有的权益而赋予。</w:t>
      </w:r>
    </w:p>
    <w:p w14:paraId="6329B246">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资产文件：指与标的资产相关的、证明标的资产存续以及标的资产权属的全部合同、协议、文件、函件、凭证及其他文书，包括但不限于借款合同、借据、担保合同、他项权利证书、和解协议、催收通知及回执。【该等文件部分为原件，部分为复印件，】甲方按照自前手取得该等资产文件的状态进行保存，按照本协议约定进行过渡期管理，并于交割日按届时资产文件状况原状移交给乙方；甲方不保证资产文件中任何复印件均有原件。资产文件不包括以下文件：（1）前手或甲方对标的资产进行管理的内部文件，包括但不限于请示、报告、批示、计划、安排、会议纪要、股东会决议、董事会决议、内部协议等；（2）前手或甲方委托律师事务所或其他中介机构出具的与标的资产有关的法律或评估文件，包括但不限于委托代理协议、债权评估分析报告、法律意见书、法律建议书等；（3）前手或甲方在乙方付清转让价款之日前为处置标的资产已经移交或者应当移交给第三方或者应当注销的文件；（4）如甲方在向乙方转让标的资产后，甲方仍然保有的权利所涉及的文件与本项具体标的资产所涉及的文件系同一份文件或存在关联程度相当紧密的情况下，甲方有权继续保留该等文件。</w:t>
      </w:r>
    </w:p>
    <w:p w14:paraId="7B674C4E">
      <w:pPr>
        <w:numPr>
          <w:ilvl w:val="1"/>
          <w:numId w:val="4"/>
        </w:numPr>
        <w:spacing w:after="240" w:afterLines="100" w:line="300" w:lineRule="auto"/>
        <w:outlineLvl w:val="1"/>
        <w:rPr>
          <w:rFonts w:ascii="宋体" w:hAnsi="宋体"/>
          <w:sz w:val="23"/>
        </w:rPr>
      </w:pPr>
      <w:r>
        <w:rPr>
          <w:rFonts w:ascii="宋体" w:hAnsi="宋体"/>
          <w:sz w:val="23"/>
        </w:rPr>
        <w:t>瑕疵：是指标的资产已经或可能存在的，对该等资产的价值及/或对有关该等资产的权利、利益</w:t>
      </w:r>
      <w:r>
        <w:rPr>
          <w:rFonts w:hint="eastAsia" w:ascii="宋体" w:hAnsi="宋体"/>
          <w:sz w:val="23"/>
        </w:rPr>
        <w:t>或</w:t>
      </w:r>
      <w:r>
        <w:rPr>
          <w:rFonts w:ascii="宋体" w:hAnsi="宋体"/>
          <w:sz w:val="23"/>
        </w:rPr>
        <w:t>其实现产生不利影响的任何事实上或法律上的</w:t>
      </w:r>
      <w:r>
        <w:rPr>
          <w:rFonts w:hint="eastAsia" w:ascii="宋体" w:hAnsi="宋体"/>
          <w:sz w:val="23"/>
        </w:rPr>
        <w:t>缺陷。</w:t>
      </w:r>
    </w:p>
    <w:p w14:paraId="4C4BF8A8">
      <w:pPr>
        <w:numPr>
          <w:ilvl w:val="1"/>
          <w:numId w:val="4"/>
        </w:numPr>
        <w:spacing w:after="240" w:afterLines="100" w:line="300" w:lineRule="auto"/>
        <w:outlineLvl w:val="1"/>
        <w:rPr>
          <w:rFonts w:ascii="宋体" w:hAnsi="宋体"/>
          <w:sz w:val="23"/>
        </w:rPr>
      </w:pPr>
      <w:r>
        <w:rPr>
          <w:rFonts w:hint="eastAsia" w:ascii="宋体" w:hAnsi="宋体"/>
          <w:sz w:val="23"/>
        </w:rPr>
        <w:t>风险：指标的资产因法律、政策、商业、标的资产本身及其证明文件等任何原因导致的不能全部或者部分实现的可能性，以及因受让标的资产而受到的经济损失和预期利益无法实现的可能性。</w:t>
      </w:r>
    </w:p>
    <w:p w14:paraId="489C04D3">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工作日：指除周六、周日或中国的法定假日之外的任何一天，但包括根据国务院当年节假日放假安排，定为工作日的周六、日。</w:t>
      </w:r>
    </w:p>
    <w:p w14:paraId="63120F55">
      <w:pPr>
        <w:numPr>
          <w:ilvl w:val="1"/>
          <w:numId w:val="4"/>
        </w:numPr>
        <w:spacing w:after="240" w:afterLines="100" w:line="300" w:lineRule="auto"/>
        <w:outlineLvl w:val="1"/>
        <w:rPr>
          <w:rFonts w:ascii="宋体" w:hAnsi="宋体"/>
          <w:sz w:val="23"/>
        </w:rPr>
      </w:pPr>
      <w:r>
        <w:rPr>
          <w:rFonts w:hint="eastAsia" w:ascii="宋体" w:hAnsi="宋体"/>
          <w:sz w:val="23"/>
        </w:rPr>
        <w:t>机构：指法人和依法成立的其他组织的合称。</w:t>
      </w:r>
    </w:p>
    <w:p w14:paraId="2841396E">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人：指任何自然人、公司、合伙、企业、联营体、信托、非公司组织或任何其它类似实体或政府。</w:t>
      </w:r>
    </w:p>
    <w:p w14:paraId="21A408CE">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政府：为表述便利，本协议所称政府指执政党的各级机关及其所属部门，中华人民共和国的各级立法、行政、司法机关及其所属部门，还包括参照行政机关管理的各类事业单位。</w:t>
      </w:r>
    </w:p>
    <w:p w14:paraId="3C7348CE">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法律：指中国任何立法机关、国家机构或监管机构颁布的、适用并约束本</w:t>
      </w:r>
      <w:r>
        <w:rPr>
          <w:rFonts w:hint="eastAsia" w:ascii="Times New Roman"/>
          <w:color w:val="auto"/>
          <w:kern w:val="2"/>
          <w:sz w:val="23"/>
        </w:rPr>
        <w:t>协议</w:t>
      </w:r>
      <w:r>
        <w:rPr>
          <w:rFonts w:ascii="Times New Roman"/>
          <w:color w:val="auto"/>
          <w:kern w:val="2"/>
          <w:sz w:val="23"/>
        </w:rPr>
        <w:t>任何一方的一切法律、法规、规章、规定、条例、指令等规范性文件。</w:t>
      </w:r>
    </w:p>
    <w:p w14:paraId="779CC85C">
      <w:pPr>
        <w:numPr>
          <w:ilvl w:val="1"/>
          <w:numId w:val="4"/>
        </w:numPr>
        <w:spacing w:after="240" w:afterLines="100" w:line="300" w:lineRule="auto"/>
        <w:outlineLvl w:val="1"/>
        <w:rPr>
          <w:rFonts w:ascii="宋体" w:hAnsi="宋体"/>
          <w:sz w:val="23"/>
        </w:rPr>
      </w:pPr>
      <w:r>
        <w:rPr>
          <w:rFonts w:ascii="宋体" w:hAnsi="宋体"/>
          <w:sz w:val="23"/>
        </w:rPr>
        <w:t>元：如无特别约定，指中国法定货币人民币元。</w:t>
      </w:r>
    </w:p>
    <w:p w14:paraId="66A0056D">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中国：指中华人民共和国。中国一词在本协议中不包括构成中华人民共和国不可分割的组成部分的香港、澳门和台湾。</w:t>
      </w:r>
    </w:p>
    <w:bookmarkEnd w:id="3"/>
    <w:p w14:paraId="2C8692F6">
      <w:pPr>
        <w:pStyle w:val="32"/>
        <w:numPr>
          <w:ilvl w:val="0"/>
          <w:numId w:val="4"/>
        </w:numPr>
        <w:spacing w:before="240" w:beforeLines="100" w:after="240" w:afterLines="100" w:line="300" w:lineRule="auto"/>
        <w:ind w:left="780" w:hanging="780" w:hangingChars="338"/>
        <w:jc w:val="both"/>
        <w:outlineLvl w:val="0"/>
        <w:rPr>
          <w:rFonts w:ascii="Times New Roman"/>
          <w:b/>
          <w:bCs/>
          <w:color w:val="auto"/>
          <w:kern w:val="2"/>
          <w:sz w:val="23"/>
          <w:szCs w:val="28"/>
        </w:rPr>
      </w:pPr>
      <w:bookmarkStart w:id="4" w:name="_Toc240895597"/>
      <w:r>
        <w:rPr>
          <w:rFonts w:ascii="Times New Roman"/>
          <w:b/>
          <w:bCs/>
          <w:color w:val="auto"/>
          <w:kern w:val="2"/>
          <w:sz w:val="23"/>
          <w:szCs w:val="28"/>
        </w:rPr>
        <w:t>转让</w:t>
      </w:r>
      <w:r>
        <w:rPr>
          <w:rFonts w:hint="eastAsia" w:ascii="Times New Roman"/>
          <w:b/>
          <w:bCs/>
          <w:color w:val="auto"/>
          <w:kern w:val="2"/>
          <w:sz w:val="23"/>
          <w:szCs w:val="28"/>
        </w:rPr>
        <w:t>标的</w:t>
      </w:r>
      <w:bookmarkEnd w:id="4"/>
    </w:p>
    <w:p w14:paraId="7F25394B">
      <w:pPr>
        <w:pStyle w:val="32"/>
        <w:numPr>
          <w:ilvl w:val="1"/>
          <w:numId w:val="4"/>
        </w:numPr>
        <w:spacing w:after="240" w:afterLines="100" w:line="300" w:lineRule="auto"/>
        <w:jc w:val="both"/>
        <w:outlineLvl w:val="1"/>
        <w:rPr>
          <w:rFonts w:ascii="Times New Roman"/>
          <w:color w:val="auto"/>
          <w:kern w:val="2"/>
          <w:sz w:val="23"/>
        </w:rPr>
      </w:pPr>
      <w:bookmarkStart w:id="5" w:name="_Toc134689153"/>
      <w:r>
        <w:rPr>
          <w:rFonts w:ascii="Times New Roman"/>
          <w:color w:val="auto"/>
          <w:kern w:val="2"/>
          <w:sz w:val="23"/>
        </w:rPr>
        <w:tab/>
      </w:r>
      <w:r>
        <w:rPr>
          <w:rFonts w:hint="eastAsia" w:ascii="Times New Roman"/>
          <w:color w:val="auto"/>
          <w:kern w:val="2"/>
          <w:sz w:val="23"/>
        </w:rPr>
        <w:t>标的</w:t>
      </w:r>
      <w:r>
        <w:rPr>
          <w:rFonts w:ascii="Times New Roman"/>
          <w:color w:val="auto"/>
          <w:kern w:val="2"/>
          <w:sz w:val="23"/>
        </w:rPr>
        <w:t>资产</w:t>
      </w:r>
      <w:bookmarkEnd w:id="5"/>
      <w:r>
        <w:rPr>
          <w:rFonts w:hint="eastAsia" w:ascii="Times New Roman"/>
          <w:color w:val="auto"/>
          <w:kern w:val="2"/>
          <w:sz w:val="23"/>
        </w:rPr>
        <w:t>转让</w:t>
      </w:r>
    </w:p>
    <w:p w14:paraId="507A51CB">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本协议转让标的系指《</w:t>
      </w:r>
      <w:r>
        <w:rPr>
          <w:rFonts w:ascii="Times New Roman"/>
          <w:color w:val="auto"/>
          <w:kern w:val="2"/>
          <w:sz w:val="23"/>
        </w:rPr>
        <w:t>标的资产清单</w:t>
      </w:r>
      <w:r>
        <w:rPr>
          <w:rFonts w:hint="eastAsia" w:ascii="Times New Roman"/>
          <w:color w:val="auto"/>
          <w:kern w:val="2"/>
          <w:sz w:val="23"/>
        </w:rPr>
        <w:t>》所列明的甲方拟转让的全部不良资产，即标的资产。截至基准日，债权资产的总金额为人民币【伍仟贰佰柒拾壹万叁仟柒佰零贰元零柒分】（小写【￥52,713,702.07元】），其中本金为【肆仟捌佰玖拾玖万伍仟伍佰贰拾捌元柒角整】（小写：【￥48,995,528.70元】），利息为【叁佰肆拾贰万叁仟叁佰叁拾玖元叁角玖分】（小写：【￥3,423,339.39元】），代垫费用为【贰拾玖万肆仟捌佰叁拾叁元玖角捌分】（小写【￥294,833.98元】</w:t>
      </w:r>
      <w:bookmarkStart w:id="89" w:name="_GoBack"/>
      <w:bookmarkEnd w:id="89"/>
      <w:r>
        <w:rPr>
          <w:rFonts w:hint="eastAsia" w:ascii="Times New Roman"/>
          <w:color w:val="auto"/>
          <w:kern w:val="2"/>
          <w:sz w:val="23"/>
        </w:rPr>
        <w:t>），具体金额以合同约定或者生效的司法文书确认的数额为准。</w:t>
      </w:r>
    </w:p>
    <w:p w14:paraId="6B40FA0C">
      <w:pPr>
        <w:pStyle w:val="32"/>
        <w:numPr>
          <w:ilvl w:val="2"/>
          <w:numId w:val="4"/>
        </w:numPr>
        <w:spacing w:after="240" w:afterLines="100" w:line="300" w:lineRule="auto"/>
        <w:jc w:val="both"/>
        <w:rPr>
          <w:rFonts w:ascii="Times New Roman"/>
          <w:color w:val="auto"/>
          <w:kern w:val="2"/>
          <w:sz w:val="23"/>
        </w:rPr>
      </w:pPr>
      <w:r>
        <w:rPr>
          <w:rFonts w:ascii="Times New Roman"/>
          <w:color w:val="auto"/>
          <w:kern w:val="2"/>
          <w:sz w:val="23"/>
        </w:rPr>
        <w:t>乙方已被告知并完全理解及同意，甲方在本协议《标的资产清单》中所列之债权</w:t>
      </w:r>
      <w:r>
        <w:rPr>
          <w:rFonts w:hint="eastAsia" w:ascii="Times New Roman"/>
          <w:color w:val="auto"/>
          <w:kern w:val="2"/>
          <w:sz w:val="23"/>
        </w:rPr>
        <w:t>资产状况，</w:t>
      </w:r>
      <w:r>
        <w:rPr>
          <w:rFonts w:ascii="Times New Roman"/>
          <w:color w:val="auto"/>
          <w:kern w:val="2"/>
          <w:sz w:val="23"/>
        </w:rPr>
        <w:t>仅为甲方根据截至基准日的统计资料所作的一般性描述，可能存在计算误差，或因其他原因导致乙方实际接收的标的资产所涉金额（包括但不限于本</w:t>
      </w:r>
      <w:r>
        <w:rPr>
          <w:rFonts w:hint="eastAsia" w:ascii="Times New Roman"/>
          <w:color w:val="auto"/>
          <w:kern w:val="2"/>
          <w:sz w:val="23"/>
        </w:rPr>
        <w:t>金或利</w:t>
      </w:r>
      <w:r>
        <w:rPr>
          <w:rFonts w:ascii="Times New Roman"/>
          <w:color w:val="auto"/>
          <w:kern w:val="2"/>
          <w:sz w:val="23"/>
        </w:rPr>
        <w:t>息</w:t>
      </w:r>
      <w:r>
        <w:rPr>
          <w:rFonts w:hint="eastAsia" w:ascii="Times New Roman"/>
          <w:color w:val="auto"/>
          <w:kern w:val="2"/>
          <w:sz w:val="23"/>
        </w:rPr>
        <w:t>金额</w:t>
      </w:r>
      <w:r>
        <w:rPr>
          <w:rFonts w:ascii="Times New Roman"/>
          <w:color w:val="auto"/>
          <w:kern w:val="2"/>
          <w:sz w:val="23"/>
        </w:rPr>
        <w:t>，下同）与《标的资产清单》所列金额不完全一致，甲方对此等金额误差无须承担任何责任；甲方此次系按照标的资产现状进行转让，若该等资产的有效性、金额</w:t>
      </w:r>
      <w:r>
        <w:rPr>
          <w:rFonts w:hint="eastAsia" w:ascii="Times New Roman"/>
          <w:color w:val="auto"/>
          <w:kern w:val="2"/>
          <w:sz w:val="23"/>
        </w:rPr>
        <w:t>等状况</w:t>
      </w:r>
      <w:r>
        <w:rPr>
          <w:rFonts w:ascii="Times New Roman"/>
          <w:color w:val="auto"/>
          <w:kern w:val="2"/>
          <w:sz w:val="23"/>
        </w:rPr>
        <w:t>与甲方判断或裁判机构最终认定的有效性、金额</w:t>
      </w:r>
      <w:r>
        <w:rPr>
          <w:rFonts w:hint="eastAsia" w:ascii="Times New Roman"/>
          <w:color w:val="auto"/>
          <w:kern w:val="2"/>
          <w:sz w:val="23"/>
        </w:rPr>
        <w:t>等状况</w:t>
      </w:r>
      <w:r>
        <w:rPr>
          <w:rFonts w:ascii="Times New Roman"/>
          <w:color w:val="auto"/>
          <w:kern w:val="2"/>
          <w:sz w:val="23"/>
        </w:rPr>
        <w:t>存在差别、误差，并不属于甲方违约</w:t>
      </w:r>
      <w:r>
        <w:rPr>
          <w:rFonts w:hint="eastAsia" w:ascii="Times New Roman"/>
          <w:color w:val="auto"/>
          <w:kern w:val="2"/>
          <w:sz w:val="23"/>
        </w:rPr>
        <w:t>，甲方对此差别、误差不承担任何责任</w:t>
      </w:r>
      <w:r>
        <w:rPr>
          <w:rFonts w:ascii="Times New Roman"/>
          <w:color w:val="auto"/>
          <w:kern w:val="2"/>
          <w:sz w:val="23"/>
        </w:rPr>
        <w:t>。</w:t>
      </w:r>
    </w:p>
    <w:p w14:paraId="3E7F5B19">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权利义务</w:t>
      </w:r>
      <w:r>
        <w:rPr>
          <w:rFonts w:ascii="Times New Roman"/>
          <w:color w:val="auto"/>
          <w:kern w:val="2"/>
          <w:sz w:val="23"/>
        </w:rPr>
        <w:t>和风险转</w:t>
      </w:r>
      <w:r>
        <w:rPr>
          <w:rFonts w:hint="eastAsia" w:ascii="Times New Roman"/>
          <w:color w:val="auto"/>
          <w:kern w:val="2"/>
          <w:sz w:val="23"/>
        </w:rPr>
        <w:t>移</w:t>
      </w:r>
    </w:p>
    <w:p w14:paraId="3F8E7794">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自本协议生效之日起，</w:t>
      </w:r>
      <w:r>
        <w:rPr>
          <w:rFonts w:ascii="Times New Roman"/>
          <w:color w:val="auto"/>
          <w:kern w:val="2"/>
          <w:sz w:val="23"/>
        </w:rPr>
        <w:t>乙方应承担全部标的资产自基准日起的任何损失、责任</w:t>
      </w:r>
      <w:r>
        <w:rPr>
          <w:rFonts w:hint="eastAsia" w:ascii="Times New Roman"/>
          <w:color w:val="auto"/>
          <w:kern w:val="2"/>
          <w:sz w:val="23"/>
        </w:rPr>
        <w:t>和</w:t>
      </w:r>
      <w:r>
        <w:rPr>
          <w:rFonts w:ascii="Times New Roman"/>
          <w:color w:val="auto"/>
          <w:kern w:val="2"/>
          <w:sz w:val="23"/>
        </w:rPr>
        <w:t>风险</w:t>
      </w:r>
      <w:r>
        <w:rPr>
          <w:rFonts w:hint="eastAsia" w:ascii="Times New Roman"/>
          <w:color w:val="auto"/>
          <w:kern w:val="2"/>
          <w:sz w:val="23"/>
        </w:rPr>
        <w:t>。</w:t>
      </w:r>
    </w:p>
    <w:p w14:paraId="69DF09BB">
      <w:pPr>
        <w:pStyle w:val="32"/>
        <w:numPr>
          <w:ilvl w:val="2"/>
          <w:numId w:val="4"/>
        </w:numPr>
        <w:spacing w:after="240" w:afterLines="100" w:line="300" w:lineRule="auto"/>
        <w:jc w:val="both"/>
        <w:rPr>
          <w:rFonts w:ascii="Times New Roman"/>
          <w:color w:val="auto"/>
          <w:kern w:val="2"/>
          <w:sz w:val="23"/>
        </w:rPr>
      </w:pPr>
      <w:r>
        <w:rPr>
          <w:rFonts w:ascii="Times New Roman"/>
          <w:color w:val="auto"/>
          <w:kern w:val="2"/>
          <w:sz w:val="23"/>
        </w:rPr>
        <w:t>乙方</w:t>
      </w:r>
      <w:r>
        <w:rPr>
          <w:rFonts w:hint="eastAsia" w:ascii="Times New Roman"/>
          <w:color w:val="auto"/>
          <w:kern w:val="2"/>
          <w:sz w:val="23"/>
        </w:rPr>
        <w:t>应</w:t>
      </w:r>
      <w:r>
        <w:rPr>
          <w:rFonts w:ascii="Times New Roman"/>
          <w:color w:val="auto"/>
          <w:kern w:val="2"/>
          <w:sz w:val="23"/>
        </w:rPr>
        <w:t>自行承担</w:t>
      </w:r>
      <w:r>
        <w:rPr>
          <w:rFonts w:hint="eastAsia" w:ascii="Times New Roman"/>
          <w:color w:val="auto"/>
          <w:kern w:val="2"/>
          <w:sz w:val="23"/>
        </w:rPr>
        <w:t>自基准日起</w:t>
      </w:r>
      <w:r>
        <w:rPr>
          <w:rFonts w:ascii="Times New Roman"/>
          <w:color w:val="auto"/>
          <w:kern w:val="2"/>
          <w:sz w:val="23"/>
        </w:rPr>
        <w:t>标的资产</w:t>
      </w:r>
      <w:r>
        <w:rPr>
          <w:rFonts w:hint="eastAsia" w:ascii="Times New Roman"/>
          <w:color w:val="auto"/>
          <w:kern w:val="2"/>
          <w:sz w:val="23"/>
        </w:rPr>
        <w:t>管理和</w:t>
      </w:r>
      <w:r>
        <w:rPr>
          <w:rFonts w:ascii="Times New Roman"/>
          <w:color w:val="auto"/>
          <w:kern w:val="2"/>
          <w:sz w:val="23"/>
        </w:rPr>
        <w:t>处置过程中可能发生的任何费用</w:t>
      </w:r>
      <w:r>
        <w:rPr>
          <w:rFonts w:hint="eastAsia" w:ascii="Times New Roman"/>
          <w:color w:val="auto"/>
          <w:kern w:val="2"/>
          <w:sz w:val="23"/>
        </w:rPr>
        <w:t>，</w:t>
      </w:r>
      <w:r>
        <w:rPr>
          <w:rFonts w:ascii="Times New Roman"/>
          <w:color w:val="auto"/>
          <w:kern w:val="2"/>
          <w:sz w:val="23"/>
        </w:rPr>
        <w:t>包括但不限于前手及/或甲方就标的资产</w:t>
      </w:r>
      <w:r>
        <w:rPr>
          <w:rFonts w:hint="eastAsia" w:ascii="Times New Roman"/>
          <w:color w:val="auto"/>
          <w:kern w:val="2"/>
          <w:sz w:val="23"/>
        </w:rPr>
        <w:t>所发生的</w:t>
      </w:r>
      <w:r>
        <w:rPr>
          <w:rFonts w:ascii="Times New Roman"/>
          <w:color w:val="auto"/>
          <w:kern w:val="2"/>
          <w:sz w:val="23"/>
        </w:rPr>
        <w:t>所有应付的费用</w:t>
      </w:r>
      <w:r>
        <w:rPr>
          <w:rFonts w:hint="eastAsia" w:ascii="Times New Roman"/>
          <w:color w:val="auto"/>
          <w:kern w:val="2"/>
          <w:sz w:val="23"/>
        </w:rPr>
        <w:t>及处置费用等</w:t>
      </w:r>
      <w:r>
        <w:rPr>
          <w:rFonts w:ascii="Times New Roman"/>
          <w:color w:val="auto"/>
          <w:kern w:val="2"/>
          <w:sz w:val="23"/>
        </w:rPr>
        <w:t>，即使法律规定应当由前手及/或甲方承担，乙方同意承担该等费用。</w:t>
      </w:r>
    </w:p>
    <w:p w14:paraId="7490D0E6">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自交割日起</w:t>
      </w:r>
      <w:r>
        <w:rPr>
          <w:rFonts w:ascii="Times New Roman"/>
          <w:color w:val="auto"/>
          <w:kern w:val="2"/>
          <w:sz w:val="23"/>
        </w:rPr>
        <w:t>，</w:t>
      </w:r>
      <w:r>
        <w:rPr>
          <w:rFonts w:hint="eastAsia" w:ascii="Times New Roman"/>
          <w:color w:val="auto"/>
          <w:kern w:val="2"/>
          <w:sz w:val="23"/>
        </w:rPr>
        <w:t>乙方</w:t>
      </w:r>
      <w:r>
        <w:rPr>
          <w:rFonts w:ascii="Times New Roman"/>
          <w:color w:val="auto"/>
          <w:kern w:val="2"/>
          <w:sz w:val="23"/>
        </w:rPr>
        <w:t>将根据本协议约定取得标的资产自基准日起</w:t>
      </w:r>
      <w:r>
        <w:rPr>
          <w:rFonts w:hint="eastAsia" w:ascii="Times New Roman"/>
          <w:color w:val="auto"/>
          <w:kern w:val="2"/>
          <w:sz w:val="23"/>
        </w:rPr>
        <w:t>的全部权利和利益</w:t>
      </w:r>
      <w:r>
        <w:rPr>
          <w:rFonts w:ascii="Times New Roman"/>
          <w:color w:val="auto"/>
          <w:kern w:val="2"/>
          <w:sz w:val="23"/>
        </w:rPr>
        <w:t>。</w:t>
      </w:r>
      <w:r>
        <w:rPr>
          <w:rFonts w:hint="eastAsia" w:ascii="Times New Roman"/>
          <w:color w:val="auto"/>
          <w:kern w:val="2"/>
          <w:sz w:val="23"/>
        </w:rPr>
        <w:t>乙方</w:t>
      </w:r>
      <w:r>
        <w:rPr>
          <w:rFonts w:ascii="Times New Roman"/>
          <w:color w:val="auto"/>
          <w:kern w:val="2"/>
          <w:sz w:val="23"/>
        </w:rPr>
        <w:t>在</w:t>
      </w:r>
      <w:r>
        <w:rPr>
          <w:rFonts w:hint="eastAsia" w:ascii="Times New Roman"/>
          <w:color w:val="auto"/>
          <w:kern w:val="2"/>
          <w:sz w:val="23"/>
        </w:rPr>
        <w:t>交割日</w:t>
      </w:r>
      <w:r>
        <w:rPr>
          <w:rFonts w:ascii="Times New Roman"/>
          <w:color w:val="auto"/>
          <w:kern w:val="2"/>
          <w:sz w:val="23"/>
        </w:rPr>
        <w:t>后应以自己的名义对标的资产进行</w:t>
      </w:r>
      <w:r>
        <w:rPr>
          <w:rFonts w:hint="eastAsia" w:ascii="Times New Roman"/>
          <w:color w:val="auto"/>
          <w:kern w:val="2"/>
          <w:sz w:val="23"/>
        </w:rPr>
        <w:t>管理和</w:t>
      </w:r>
      <w:r>
        <w:rPr>
          <w:rFonts w:ascii="Times New Roman"/>
          <w:color w:val="auto"/>
          <w:kern w:val="2"/>
          <w:sz w:val="23"/>
        </w:rPr>
        <w:t>处置</w:t>
      </w:r>
      <w:r>
        <w:rPr>
          <w:rFonts w:hint="eastAsia" w:ascii="Times New Roman"/>
          <w:color w:val="auto"/>
          <w:kern w:val="2"/>
          <w:sz w:val="23"/>
        </w:rPr>
        <w:t>。</w:t>
      </w:r>
    </w:p>
    <w:p w14:paraId="346D0607">
      <w:pPr>
        <w:pStyle w:val="32"/>
        <w:numPr>
          <w:ilvl w:val="2"/>
          <w:numId w:val="4"/>
        </w:numPr>
        <w:spacing w:after="240" w:afterLines="100" w:line="300" w:lineRule="auto"/>
        <w:jc w:val="both"/>
        <w:rPr>
          <w:rFonts w:ascii="Times New Roman"/>
          <w:color w:val="auto"/>
          <w:kern w:val="2"/>
          <w:sz w:val="23"/>
        </w:rPr>
      </w:pPr>
      <w:r>
        <w:rPr>
          <w:rFonts w:ascii="Times New Roman"/>
          <w:color w:val="auto"/>
          <w:kern w:val="2"/>
          <w:sz w:val="23"/>
        </w:rPr>
        <w:t>乙方</w:t>
      </w:r>
      <w:r>
        <w:rPr>
          <w:rFonts w:hint="eastAsia" w:ascii="Times New Roman"/>
          <w:color w:val="auto"/>
          <w:kern w:val="2"/>
          <w:sz w:val="23"/>
        </w:rPr>
        <w:t>确认并承诺</w:t>
      </w:r>
      <w:r>
        <w:rPr>
          <w:rFonts w:ascii="Times New Roman"/>
          <w:color w:val="auto"/>
          <w:kern w:val="2"/>
          <w:sz w:val="23"/>
        </w:rPr>
        <w:t>在受让标的资产后继续遵守和履行甲方及/或前手在标的资产转让前就标的资产而向</w:t>
      </w:r>
      <w:r>
        <w:rPr>
          <w:rFonts w:hint="eastAsia" w:ascii="Times New Roman"/>
          <w:color w:val="auto"/>
          <w:kern w:val="2"/>
          <w:sz w:val="23"/>
        </w:rPr>
        <w:t>义务人</w:t>
      </w:r>
      <w:r>
        <w:rPr>
          <w:rFonts w:ascii="Times New Roman"/>
          <w:color w:val="auto"/>
          <w:kern w:val="2"/>
          <w:sz w:val="23"/>
        </w:rPr>
        <w:t>所作的承诺及/或与其他相关方达成的任何协议、处置方案或者其他任何对甲方及/或前手有约束力的文件；并且，乙方应自觉接受该等协议及/或文件对标的资产</w:t>
      </w:r>
      <w:r>
        <w:rPr>
          <w:rFonts w:hint="eastAsia" w:ascii="Times New Roman"/>
          <w:color w:val="auto"/>
          <w:kern w:val="2"/>
          <w:sz w:val="23"/>
        </w:rPr>
        <w:t>权利</w:t>
      </w:r>
      <w:r>
        <w:rPr>
          <w:rFonts w:ascii="Times New Roman"/>
          <w:color w:val="auto"/>
          <w:kern w:val="2"/>
          <w:sz w:val="23"/>
        </w:rPr>
        <w:t>人赋予的权利和相应的约束，并愿意按照该协议及/或文件的约定行使标的资产</w:t>
      </w:r>
      <w:r>
        <w:rPr>
          <w:rFonts w:hint="eastAsia" w:ascii="Times New Roman"/>
          <w:color w:val="auto"/>
          <w:kern w:val="2"/>
          <w:sz w:val="23"/>
        </w:rPr>
        <w:t>权利</w:t>
      </w:r>
      <w:r>
        <w:rPr>
          <w:rFonts w:ascii="Times New Roman"/>
          <w:color w:val="auto"/>
          <w:kern w:val="2"/>
          <w:sz w:val="23"/>
        </w:rPr>
        <w:t>人的权利和履行标的资产</w:t>
      </w:r>
      <w:r>
        <w:rPr>
          <w:rFonts w:hint="eastAsia" w:ascii="Times New Roman"/>
          <w:color w:val="auto"/>
          <w:kern w:val="2"/>
          <w:sz w:val="23"/>
        </w:rPr>
        <w:t>权利</w:t>
      </w:r>
      <w:r>
        <w:rPr>
          <w:rFonts w:ascii="Times New Roman"/>
          <w:color w:val="auto"/>
          <w:kern w:val="2"/>
          <w:sz w:val="23"/>
        </w:rPr>
        <w:t>人的义务。如因乙方违反该等约定而引致任何第三人对甲方采取法律行动、或甲方须对任何第三人承担任何责任，则甲方有权要求乙方弥补甲方所受的一切损失。</w:t>
      </w:r>
    </w:p>
    <w:p w14:paraId="032D7370">
      <w:pPr>
        <w:pStyle w:val="32"/>
        <w:numPr>
          <w:ilvl w:val="1"/>
          <w:numId w:val="4"/>
        </w:numPr>
        <w:spacing w:after="240" w:afterLines="100" w:line="300" w:lineRule="auto"/>
        <w:jc w:val="both"/>
        <w:outlineLvl w:val="1"/>
        <w:rPr>
          <w:rFonts w:ascii="Times New Roman"/>
          <w:color w:val="auto"/>
          <w:kern w:val="2"/>
          <w:sz w:val="23"/>
        </w:rPr>
      </w:pPr>
      <w:bookmarkStart w:id="6" w:name="_Ref472411385"/>
      <w:r>
        <w:rPr>
          <w:rFonts w:ascii="Times New Roman"/>
          <w:color w:val="auto"/>
          <w:kern w:val="2"/>
          <w:sz w:val="23"/>
        </w:rPr>
        <w:t>第三方协议</w:t>
      </w:r>
      <w:bookmarkEnd w:id="6"/>
      <w:r>
        <w:rPr>
          <w:rFonts w:hint="eastAsia" w:ascii="Times New Roman"/>
          <w:color w:val="auto"/>
          <w:kern w:val="2"/>
          <w:sz w:val="23"/>
        </w:rPr>
        <w:t>的</w:t>
      </w:r>
      <w:r>
        <w:rPr>
          <w:rFonts w:ascii="Times New Roman"/>
          <w:color w:val="auto"/>
          <w:kern w:val="2"/>
          <w:sz w:val="23"/>
        </w:rPr>
        <w:t>履行</w:t>
      </w:r>
    </w:p>
    <w:p w14:paraId="5BE18EDC">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乙方同意，一经交割，其将承继甲方自基准日起在第三方协议项下的权利和义务并受该等第三方协议条款的约束。</w:t>
      </w:r>
    </w:p>
    <w:p w14:paraId="678DB953">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自本协议生效之日起，基准日起</w:t>
      </w:r>
      <w:r>
        <w:rPr>
          <w:rFonts w:ascii="Times New Roman"/>
          <w:color w:val="auto"/>
          <w:kern w:val="2"/>
          <w:sz w:val="23"/>
        </w:rPr>
        <w:t>因执行该等协议</w:t>
      </w:r>
      <w:r>
        <w:rPr>
          <w:rFonts w:hint="eastAsia" w:ascii="Times New Roman"/>
          <w:color w:val="auto"/>
          <w:kern w:val="2"/>
          <w:sz w:val="23"/>
        </w:rPr>
        <w:t>产生</w:t>
      </w:r>
      <w:r>
        <w:rPr>
          <w:rFonts w:ascii="Times New Roman"/>
          <w:color w:val="auto"/>
          <w:kern w:val="2"/>
          <w:sz w:val="23"/>
        </w:rPr>
        <w:t>的</w:t>
      </w:r>
      <w:r>
        <w:rPr>
          <w:rFonts w:hint="eastAsia" w:ascii="Times New Roman"/>
          <w:color w:val="auto"/>
          <w:kern w:val="2"/>
          <w:sz w:val="23"/>
        </w:rPr>
        <w:t>与</w:t>
      </w:r>
      <w:r>
        <w:rPr>
          <w:rFonts w:ascii="Times New Roman"/>
          <w:color w:val="auto"/>
          <w:kern w:val="2"/>
          <w:sz w:val="23"/>
        </w:rPr>
        <w:t>该等协议相对人或任何第三方的</w:t>
      </w:r>
      <w:r>
        <w:rPr>
          <w:rFonts w:hint="eastAsia" w:ascii="Times New Roman"/>
          <w:color w:val="auto"/>
          <w:kern w:val="2"/>
          <w:sz w:val="23"/>
        </w:rPr>
        <w:t>民事</w:t>
      </w:r>
      <w:r>
        <w:rPr>
          <w:rFonts w:ascii="Times New Roman"/>
          <w:color w:val="auto"/>
          <w:kern w:val="2"/>
          <w:sz w:val="23"/>
        </w:rPr>
        <w:t>纠纷</w:t>
      </w:r>
      <w:r>
        <w:rPr>
          <w:rFonts w:hint="eastAsia" w:ascii="Times New Roman"/>
          <w:color w:val="auto"/>
          <w:kern w:val="2"/>
          <w:sz w:val="23"/>
        </w:rPr>
        <w:t>或</w:t>
      </w:r>
      <w:r>
        <w:rPr>
          <w:rFonts w:ascii="Times New Roman"/>
          <w:color w:val="auto"/>
          <w:kern w:val="2"/>
          <w:sz w:val="23"/>
        </w:rPr>
        <w:t>民事责任由乙方</w:t>
      </w:r>
      <w:r>
        <w:rPr>
          <w:rFonts w:hint="eastAsia" w:ascii="Times New Roman"/>
          <w:color w:val="auto"/>
          <w:kern w:val="2"/>
          <w:sz w:val="23"/>
        </w:rPr>
        <w:t>承担。若甲方承担因第三方协议产生的全部或部分责任，则乙方应对甲方予以全额补偿并应</w:t>
      </w:r>
      <w:r>
        <w:rPr>
          <w:rFonts w:ascii="Times New Roman"/>
          <w:color w:val="auto"/>
          <w:kern w:val="2"/>
          <w:sz w:val="23"/>
        </w:rPr>
        <w:t>在</w:t>
      </w:r>
      <w:r>
        <w:rPr>
          <w:rFonts w:hint="eastAsia" w:ascii="Times New Roman"/>
          <w:color w:val="auto"/>
          <w:kern w:val="2"/>
          <w:sz w:val="23"/>
        </w:rPr>
        <w:t>收</w:t>
      </w:r>
      <w:r>
        <w:rPr>
          <w:rFonts w:ascii="Times New Roman"/>
          <w:color w:val="auto"/>
          <w:kern w:val="2"/>
          <w:sz w:val="23"/>
        </w:rPr>
        <w:t>到甲方通知之日起【</w:t>
      </w:r>
      <w:r>
        <w:rPr>
          <w:rFonts w:hint="eastAsia" w:ascii="Times New Roman"/>
          <w:color w:val="auto"/>
          <w:kern w:val="2"/>
          <w:sz w:val="23"/>
        </w:rPr>
        <w:t>五</w:t>
      </w:r>
      <w:r>
        <w:rPr>
          <w:rFonts w:ascii="Times New Roman"/>
          <w:color w:val="auto"/>
          <w:kern w:val="2"/>
          <w:sz w:val="23"/>
        </w:rPr>
        <w:t>】</w:t>
      </w:r>
      <w:r>
        <w:rPr>
          <w:rFonts w:hint="eastAsia" w:ascii="Times New Roman"/>
          <w:color w:val="auto"/>
          <w:kern w:val="2"/>
          <w:sz w:val="23"/>
        </w:rPr>
        <w:t>个</w:t>
      </w:r>
      <w:r>
        <w:rPr>
          <w:rFonts w:ascii="Times New Roman"/>
          <w:color w:val="auto"/>
          <w:kern w:val="2"/>
          <w:sz w:val="23"/>
        </w:rPr>
        <w:t>工作</w:t>
      </w:r>
      <w:r>
        <w:rPr>
          <w:rFonts w:hint="eastAsia" w:ascii="Times New Roman"/>
          <w:color w:val="auto"/>
          <w:kern w:val="2"/>
          <w:sz w:val="23"/>
        </w:rPr>
        <w:t>日</w:t>
      </w:r>
      <w:r>
        <w:rPr>
          <w:rFonts w:ascii="Times New Roman"/>
          <w:color w:val="auto"/>
          <w:kern w:val="2"/>
          <w:sz w:val="23"/>
        </w:rPr>
        <w:t>内足额支付</w:t>
      </w:r>
      <w:r>
        <w:rPr>
          <w:rFonts w:hint="eastAsia" w:ascii="Times New Roman"/>
          <w:color w:val="auto"/>
          <w:kern w:val="2"/>
          <w:sz w:val="23"/>
        </w:rPr>
        <w:t>全部补偿款</w:t>
      </w:r>
      <w:r>
        <w:rPr>
          <w:rFonts w:ascii="Times New Roman"/>
          <w:color w:val="auto"/>
          <w:kern w:val="2"/>
          <w:sz w:val="23"/>
        </w:rPr>
        <w:t>。</w:t>
      </w:r>
    </w:p>
    <w:p w14:paraId="2575B68A">
      <w:pPr>
        <w:pStyle w:val="32"/>
        <w:numPr>
          <w:ilvl w:val="0"/>
          <w:numId w:val="4"/>
        </w:numPr>
        <w:spacing w:after="240" w:afterLines="100" w:line="300" w:lineRule="auto"/>
        <w:jc w:val="both"/>
        <w:outlineLvl w:val="0"/>
        <w:rPr>
          <w:rFonts w:ascii="Times New Roman"/>
          <w:b/>
          <w:bCs/>
          <w:color w:val="auto"/>
          <w:kern w:val="2"/>
          <w:sz w:val="23"/>
          <w:szCs w:val="28"/>
        </w:rPr>
      </w:pPr>
      <w:bookmarkStart w:id="7" w:name="_Ref468050902"/>
      <w:bookmarkStart w:id="8" w:name="_Toc240895598"/>
      <w:r>
        <w:rPr>
          <w:rFonts w:ascii="Times New Roman"/>
          <w:b/>
          <w:bCs/>
          <w:color w:val="auto"/>
          <w:kern w:val="2"/>
          <w:sz w:val="23"/>
          <w:szCs w:val="28"/>
        </w:rPr>
        <w:t>风险提示</w:t>
      </w:r>
      <w:bookmarkEnd w:id="7"/>
      <w:r>
        <w:rPr>
          <w:rFonts w:ascii="Times New Roman"/>
          <w:b/>
          <w:bCs/>
          <w:color w:val="auto"/>
          <w:kern w:val="2"/>
          <w:sz w:val="23"/>
          <w:szCs w:val="28"/>
        </w:rPr>
        <w:t>及决策</w:t>
      </w:r>
      <w:bookmarkEnd w:id="8"/>
    </w:p>
    <w:p w14:paraId="08EEAEE8">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乙方</w:t>
      </w:r>
      <w:r>
        <w:rPr>
          <w:rFonts w:hint="eastAsia" w:ascii="Times New Roman"/>
          <w:color w:val="auto"/>
          <w:kern w:val="2"/>
          <w:sz w:val="23"/>
        </w:rPr>
        <w:t>知悉</w:t>
      </w:r>
      <w:r>
        <w:rPr>
          <w:rFonts w:ascii="Times New Roman"/>
          <w:color w:val="auto"/>
          <w:kern w:val="2"/>
          <w:sz w:val="23"/>
        </w:rPr>
        <w:t>并在此确认：标的资产系不良资产，存在诸多</w:t>
      </w:r>
      <w:r>
        <w:rPr>
          <w:rFonts w:hint="eastAsia" w:ascii="Times New Roman"/>
          <w:color w:val="auto"/>
          <w:kern w:val="2"/>
          <w:sz w:val="23"/>
        </w:rPr>
        <w:t>风险和瑕疵</w:t>
      </w:r>
      <w:r>
        <w:rPr>
          <w:rFonts w:ascii="Times New Roman"/>
          <w:color w:val="auto"/>
          <w:kern w:val="2"/>
          <w:sz w:val="23"/>
        </w:rPr>
        <w:t>，甲方系按标的资产的现状向乙方出让，甲方不对标的资产的合法、有效、可执行</w:t>
      </w:r>
      <w:r>
        <w:rPr>
          <w:rFonts w:hint="eastAsia" w:ascii="Times New Roman"/>
          <w:color w:val="auto"/>
          <w:kern w:val="2"/>
          <w:sz w:val="23"/>
        </w:rPr>
        <w:t>、可回收</w:t>
      </w:r>
      <w:r>
        <w:rPr>
          <w:rFonts w:ascii="Times New Roman"/>
          <w:color w:val="auto"/>
          <w:kern w:val="2"/>
          <w:sz w:val="23"/>
        </w:rPr>
        <w:t>及/或时效性等做出任何保证。</w:t>
      </w:r>
    </w:p>
    <w:p w14:paraId="27F87CCC">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乙方已被告知并完全理解，</w:t>
      </w:r>
      <w:r>
        <w:rPr>
          <w:rFonts w:ascii="Times New Roman"/>
          <w:color w:val="auto"/>
          <w:kern w:val="2"/>
          <w:sz w:val="23"/>
        </w:rPr>
        <w:t>乙方受让的标的资产，可能因法律</w:t>
      </w:r>
      <w:r>
        <w:rPr>
          <w:rFonts w:hint="eastAsia" w:ascii="Times New Roman"/>
          <w:color w:val="auto"/>
          <w:kern w:val="2"/>
          <w:sz w:val="23"/>
        </w:rPr>
        <w:t>、</w:t>
      </w:r>
      <w:r>
        <w:rPr>
          <w:rFonts w:ascii="Times New Roman"/>
          <w:color w:val="auto"/>
          <w:kern w:val="2"/>
          <w:sz w:val="23"/>
        </w:rPr>
        <w:t>政策</w:t>
      </w:r>
      <w:r>
        <w:rPr>
          <w:rFonts w:hint="eastAsia" w:ascii="Times New Roman"/>
          <w:color w:val="auto"/>
          <w:kern w:val="2"/>
          <w:sz w:val="23"/>
        </w:rPr>
        <w:t>等原因</w:t>
      </w:r>
      <w:r>
        <w:rPr>
          <w:rFonts w:ascii="Times New Roman"/>
          <w:color w:val="auto"/>
          <w:kern w:val="2"/>
          <w:sz w:val="23"/>
        </w:rPr>
        <w:t>，在乙方受让后以其名义向法院或仲裁机构提起诉讼或仲裁、申请变更诉讼或执行主体</w:t>
      </w:r>
      <w:r>
        <w:rPr>
          <w:rFonts w:hint="eastAsia" w:ascii="Times New Roman"/>
          <w:color w:val="auto"/>
          <w:kern w:val="2"/>
          <w:sz w:val="23"/>
        </w:rPr>
        <w:t>或破产债权人</w:t>
      </w:r>
      <w:r>
        <w:rPr>
          <w:rFonts w:ascii="Times New Roman"/>
          <w:color w:val="auto"/>
          <w:kern w:val="2"/>
          <w:sz w:val="23"/>
        </w:rPr>
        <w:t>时，</w:t>
      </w:r>
      <w:r>
        <w:rPr>
          <w:rFonts w:hint="eastAsia" w:ascii="Times New Roman"/>
          <w:color w:val="auto"/>
          <w:kern w:val="2"/>
          <w:sz w:val="23"/>
        </w:rPr>
        <w:t>因</w:t>
      </w:r>
      <w:r>
        <w:rPr>
          <w:rFonts w:ascii="Times New Roman"/>
          <w:color w:val="auto"/>
          <w:kern w:val="2"/>
          <w:sz w:val="23"/>
        </w:rPr>
        <w:t>该等法院或仲裁机构不予受理、不予审理、不予变更、不予执行等致使乙方权利难以行使或落空。</w:t>
      </w:r>
    </w:p>
    <w:p w14:paraId="5137DB70">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乙方已被告知并完全理解，</w:t>
      </w:r>
      <w:r>
        <w:rPr>
          <w:rFonts w:ascii="Times New Roman"/>
          <w:color w:val="auto"/>
          <w:kern w:val="2"/>
          <w:sz w:val="23"/>
        </w:rPr>
        <w:t>乙方受让标的资产后，由于相关法律</w:t>
      </w:r>
      <w:r>
        <w:rPr>
          <w:rFonts w:hint="eastAsia" w:ascii="Times New Roman"/>
          <w:color w:val="auto"/>
          <w:kern w:val="2"/>
          <w:sz w:val="23"/>
        </w:rPr>
        <w:t>及</w:t>
      </w:r>
      <w:r>
        <w:rPr>
          <w:rFonts w:ascii="Times New Roman"/>
          <w:color w:val="auto"/>
          <w:kern w:val="2"/>
          <w:sz w:val="23"/>
        </w:rPr>
        <w:t>政策限制，导致其能够</w:t>
      </w:r>
      <w:r>
        <w:rPr>
          <w:rFonts w:hint="eastAsia" w:ascii="Times New Roman"/>
          <w:color w:val="auto"/>
          <w:kern w:val="2"/>
          <w:sz w:val="23"/>
        </w:rPr>
        <w:t>主张或实现</w:t>
      </w:r>
      <w:r>
        <w:rPr>
          <w:rFonts w:ascii="Times New Roman"/>
          <w:color w:val="auto"/>
          <w:kern w:val="2"/>
          <w:sz w:val="23"/>
        </w:rPr>
        <w:t>的</w:t>
      </w:r>
      <w:r>
        <w:rPr>
          <w:rFonts w:hint="eastAsia" w:ascii="Times New Roman"/>
          <w:color w:val="auto"/>
          <w:kern w:val="2"/>
          <w:sz w:val="23"/>
        </w:rPr>
        <w:t>标的</w:t>
      </w:r>
      <w:r>
        <w:rPr>
          <w:rFonts w:ascii="Times New Roman"/>
          <w:color w:val="auto"/>
          <w:kern w:val="2"/>
          <w:sz w:val="23"/>
        </w:rPr>
        <w:t>资产数额可能小于本协议中列明的</w:t>
      </w:r>
      <w:r>
        <w:rPr>
          <w:rFonts w:hint="eastAsia" w:ascii="Times New Roman"/>
          <w:color w:val="auto"/>
          <w:kern w:val="2"/>
          <w:sz w:val="23"/>
        </w:rPr>
        <w:t>标的</w:t>
      </w:r>
      <w:r>
        <w:rPr>
          <w:rFonts w:ascii="Times New Roman"/>
          <w:color w:val="auto"/>
          <w:kern w:val="2"/>
          <w:sz w:val="23"/>
        </w:rPr>
        <w:t>资产数额。</w:t>
      </w:r>
    </w:p>
    <w:p w14:paraId="3E1ECF49">
      <w:pPr>
        <w:pStyle w:val="32"/>
        <w:numPr>
          <w:ilvl w:val="2"/>
          <w:numId w:val="4"/>
        </w:numPr>
        <w:spacing w:after="240" w:afterLines="100" w:line="300" w:lineRule="auto"/>
        <w:jc w:val="both"/>
        <w:rPr>
          <w:rFonts w:ascii="Times New Roman"/>
          <w:color w:val="auto"/>
          <w:kern w:val="2"/>
          <w:sz w:val="23"/>
        </w:rPr>
      </w:pPr>
      <w:r>
        <w:rPr>
          <w:rFonts w:hint="eastAsia" w:ascii="Times New Roman"/>
          <w:color w:val="auto"/>
          <w:kern w:val="2"/>
          <w:sz w:val="23"/>
        </w:rPr>
        <w:t>乙方已被告知并完全理解，标的资产的相关权利可能无法变更至乙方名下。</w:t>
      </w:r>
    </w:p>
    <w:p w14:paraId="6B750312">
      <w:pPr>
        <w:pStyle w:val="32"/>
        <w:numPr>
          <w:ilvl w:val="2"/>
          <w:numId w:val="4"/>
        </w:numPr>
        <w:spacing w:after="240" w:afterLines="100" w:line="300" w:lineRule="auto"/>
        <w:jc w:val="both"/>
        <w:rPr>
          <w:rFonts w:hAnsi="宋体"/>
          <w:color w:val="auto"/>
          <w:kern w:val="2"/>
          <w:sz w:val="23"/>
        </w:rPr>
      </w:pPr>
      <w:r>
        <w:rPr>
          <w:rFonts w:hint="eastAsia" w:hAnsi="宋体"/>
          <w:color w:val="auto"/>
          <w:kern w:val="2"/>
          <w:sz w:val="23"/>
        </w:rPr>
        <w:t>乙方已被告知并完全理解，</w:t>
      </w:r>
      <w:r>
        <w:rPr>
          <w:rFonts w:hAnsi="宋体"/>
          <w:color w:val="auto"/>
          <w:kern w:val="2"/>
          <w:sz w:val="23"/>
        </w:rPr>
        <w:t>乙方在自甲方受让标的资产后，</w:t>
      </w:r>
      <w:r>
        <w:rPr>
          <w:rFonts w:hint="eastAsia" w:hAnsi="宋体"/>
          <w:color w:val="auto"/>
          <w:kern w:val="2"/>
          <w:sz w:val="23"/>
        </w:rPr>
        <w:t>对标的资产根据主合同、担保合同等资产文件在基准日以后产生的利息、罚息、违约金等权利/权益，乙方可能无法继续享有或行使</w:t>
      </w:r>
      <w:r>
        <w:rPr>
          <w:rFonts w:hAnsi="宋体"/>
          <w:color w:val="auto"/>
          <w:kern w:val="2"/>
          <w:sz w:val="23"/>
        </w:rPr>
        <w:t>。</w:t>
      </w:r>
    </w:p>
    <w:p w14:paraId="62448960">
      <w:pPr>
        <w:pStyle w:val="32"/>
        <w:numPr>
          <w:ilvl w:val="2"/>
          <w:numId w:val="4"/>
        </w:numPr>
        <w:spacing w:after="240" w:afterLines="100" w:line="300" w:lineRule="auto"/>
        <w:jc w:val="both"/>
        <w:rPr>
          <w:rFonts w:hAnsi="宋体"/>
          <w:color w:val="auto"/>
          <w:kern w:val="2"/>
          <w:sz w:val="23"/>
        </w:rPr>
      </w:pPr>
      <w:r>
        <w:rPr>
          <w:rFonts w:hAnsi="宋体"/>
          <w:color w:val="auto"/>
          <w:kern w:val="2"/>
          <w:sz w:val="23"/>
        </w:rPr>
        <w:t>乙方已被告知并完全理解，乙方受让标的资产后，由于法律政策导向的不确定性，乙方可能无法享有甲方及/或前手</w:t>
      </w:r>
      <w:r>
        <w:rPr>
          <w:rFonts w:hint="eastAsia" w:hAnsi="宋体"/>
          <w:color w:val="auto"/>
          <w:kern w:val="2"/>
          <w:sz w:val="23"/>
        </w:rPr>
        <w:t>对标的</w:t>
      </w:r>
      <w:r>
        <w:rPr>
          <w:rFonts w:hAnsi="宋体"/>
          <w:color w:val="auto"/>
          <w:kern w:val="2"/>
          <w:sz w:val="23"/>
        </w:rPr>
        <w:t>资产所享有的国家法律政策规定的各项优惠条件和特殊保护，包括但不限于税收和诉讼方面的优惠和特殊保护。</w:t>
      </w:r>
    </w:p>
    <w:p w14:paraId="2D7C641E">
      <w:pPr>
        <w:pStyle w:val="32"/>
        <w:numPr>
          <w:ilvl w:val="2"/>
          <w:numId w:val="4"/>
        </w:numPr>
        <w:spacing w:after="240" w:afterLines="100" w:line="300" w:lineRule="auto"/>
        <w:jc w:val="both"/>
        <w:rPr>
          <w:rFonts w:ascii="Times New Roman"/>
          <w:color w:val="auto"/>
          <w:kern w:val="2"/>
          <w:sz w:val="23"/>
          <w:szCs w:val="23"/>
        </w:rPr>
      </w:pPr>
      <w:r>
        <w:rPr>
          <w:rFonts w:ascii="Times New Roman"/>
          <w:color w:val="auto"/>
          <w:kern w:val="2"/>
          <w:sz w:val="23"/>
          <w:szCs w:val="23"/>
        </w:rPr>
        <w:t>乙方已被告知并完全理解，</w:t>
      </w:r>
      <w:r>
        <w:rPr>
          <w:rFonts w:hint="eastAsia" w:ascii="Times New Roman"/>
          <w:color w:val="auto"/>
          <w:kern w:val="2"/>
          <w:sz w:val="23"/>
          <w:szCs w:val="23"/>
        </w:rPr>
        <w:t>乙方</w:t>
      </w:r>
      <w:r>
        <w:rPr>
          <w:rFonts w:ascii="Times New Roman"/>
          <w:color w:val="auto"/>
          <w:kern w:val="2"/>
          <w:sz w:val="23"/>
          <w:szCs w:val="23"/>
        </w:rPr>
        <w:t>受让的标的资产可能存在着</w:t>
      </w:r>
      <w:r>
        <w:rPr>
          <w:rFonts w:hint="eastAsia" w:ascii="Times New Roman"/>
          <w:color w:val="auto"/>
          <w:kern w:val="2"/>
          <w:sz w:val="23"/>
          <w:szCs w:val="23"/>
        </w:rPr>
        <w:t>瑕疵</w:t>
      </w:r>
      <w:r>
        <w:rPr>
          <w:rFonts w:ascii="Times New Roman"/>
          <w:color w:val="auto"/>
          <w:kern w:val="2"/>
          <w:sz w:val="23"/>
          <w:szCs w:val="23"/>
        </w:rPr>
        <w:t>，</w:t>
      </w:r>
      <w:r>
        <w:rPr>
          <w:rFonts w:hint="eastAsia" w:ascii="Times New Roman"/>
          <w:color w:val="auto"/>
          <w:kern w:val="2"/>
          <w:sz w:val="23"/>
          <w:szCs w:val="23"/>
        </w:rPr>
        <w:t>影响乙方预期利益的实现</w:t>
      </w:r>
      <w:r>
        <w:rPr>
          <w:rFonts w:ascii="Times New Roman"/>
          <w:color w:val="auto"/>
          <w:kern w:val="2"/>
          <w:sz w:val="23"/>
          <w:szCs w:val="23"/>
        </w:rPr>
        <w:t>。乙方同意</w:t>
      </w:r>
      <w:r>
        <w:rPr>
          <w:rFonts w:hint="eastAsia" w:ascii="Times New Roman"/>
          <w:color w:val="auto"/>
          <w:kern w:val="2"/>
          <w:sz w:val="23"/>
          <w:szCs w:val="23"/>
        </w:rPr>
        <w:t>并</w:t>
      </w:r>
      <w:r>
        <w:rPr>
          <w:rFonts w:ascii="Times New Roman"/>
          <w:color w:val="auto"/>
          <w:kern w:val="2"/>
          <w:sz w:val="23"/>
          <w:szCs w:val="23"/>
        </w:rPr>
        <w:t>确认，甲方对标的资产不承担</w:t>
      </w:r>
      <w:r>
        <w:rPr>
          <w:sz w:val="23"/>
          <w:szCs w:val="23"/>
        </w:rPr>
        <w:t>法律上的合法性、有效性</w:t>
      </w:r>
      <w:r>
        <w:rPr>
          <w:rFonts w:hint="eastAsia"/>
          <w:sz w:val="23"/>
          <w:szCs w:val="23"/>
        </w:rPr>
        <w:t>、准确性</w:t>
      </w:r>
      <w:r>
        <w:rPr>
          <w:sz w:val="23"/>
          <w:szCs w:val="23"/>
        </w:rPr>
        <w:t>等瑕疵担保责任。乙方受让的</w:t>
      </w:r>
      <w:r>
        <w:rPr>
          <w:rFonts w:hint="eastAsia"/>
          <w:sz w:val="23"/>
          <w:szCs w:val="23"/>
        </w:rPr>
        <w:t>标的</w:t>
      </w:r>
      <w:r>
        <w:rPr>
          <w:rFonts w:hint="eastAsia" w:ascii="Times New Roman"/>
          <w:color w:val="auto"/>
          <w:kern w:val="2"/>
          <w:sz w:val="23"/>
          <w:szCs w:val="23"/>
        </w:rPr>
        <w:t>资产可能存在的缺陷</w:t>
      </w:r>
      <w:r>
        <w:rPr>
          <w:rFonts w:ascii="Times New Roman"/>
          <w:color w:val="auto"/>
          <w:kern w:val="2"/>
          <w:sz w:val="23"/>
          <w:szCs w:val="23"/>
        </w:rPr>
        <w:t>，包括但不限于下列一项或多项：</w:t>
      </w:r>
    </w:p>
    <w:p w14:paraId="1C737F27">
      <w:pPr>
        <w:pStyle w:val="32"/>
        <w:numPr>
          <w:ilvl w:val="0"/>
          <w:numId w:val="5"/>
        </w:numPr>
        <w:spacing w:after="240" w:afterLines="100" w:line="300" w:lineRule="auto"/>
        <w:rPr>
          <w:sz w:val="23"/>
          <w:szCs w:val="23"/>
        </w:rPr>
      </w:pPr>
      <w:r>
        <w:rPr>
          <w:sz w:val="23"/>
          <w:szCs w:val="23"/>
        </w:rPr>
        <w:t>标的资产相关的</w:t>
      </w:r>
      <w:r>
        <w:rPr>
          <w:rFonts w:hint="eastAsia"/>
          <w:sz w:val="23"/>
          <w:szCs w:val="23"/>
        </w:rPr>
        <w:t>义务人及/</w:t>
      </w:r>
      <w:r>
        <w:rPr>
          <w:sz w:val="23"/>
          <w:szCs w:val="23"/>
        </w:rPr>
        <w:t>或其他</w:t>
      </w:r>
      <w:r>
        <w:rPr>
          <w:rFonts w:hint="eastAsia"/>
          <w:sz w:val="23"/>
          <w:szCs w:val="23"/>
        </w:rPr>
        <w:t>相关第三方</w:t>
      </w:r>
      <w:r>
        <w:rPr>
          <w:sz w:val="23"/>
          <w:szCs w:val="23"/>
        </w:rPr>
        <w:t>可能存在破产、被解散、被注销、被吊销、歇业、被关闭、下落不明以及其他主体存续性瑕疵的情形；</w:t>
      </w:r>
    </w:p>
    <w:p w14:paraId="5A3A6477">
      <w:pPr>
        <w:pStyle w:val="32"/>
        <w:numPr>
          <w:ilvl w:val="0"/>
          <w:numId w:val="5"/>
        </w:numPr>
        <w:spacing w:after="240" w:afterLines="100" w:line="300" w:lineRule="auto"/>
        <w:rPr>
          <w:sz w:val="23"/>
          <w:szCs w:val="23"/>
        </w:rPr>
      </w:pPr>
      <w:r>
        <w:rPr>
          <w:sz w:val="23"/>
          <w:szCs w:val="23"/>
        </w:rPr>
        <w:t>标的资产</w:t>
      </w:r>
      <w:r>
        <w:rPr>
          <w:rFonts w:hint="eastAsia"/>
          <w:sz w:val="23"/>
          <w:szCs w:val="23"/>
        </w:rPr>
        <w:t>（含从权利及/或相关权益）</w:t>
      </w:r>
      <w:r>
        <w:rPr>
          <w:sz w:val="23"/>
          <w:szCs w:val="23"/>
        </w:rPr>
        <w:t>可能</w:t>
      </w:r>
      <w:r>
        <w:rPr>
          <w:rFonts w:hint="eastAsia"/>
          <w:sz w:val="23"/>
          <w:szCs w:val="23"/>
        </w:rPr>
        <w:t>存在</w:t>
      </w:r>
      <w:r>
        <w:rPr>
          <w:sz w:val="23"/>
          <w:szCs w:val="23"/>
        </w:rPr>
        <w:t>已超过诉讼时效或丧失相关的法定期间</w:t>
      </w:r>
      <w:r>
        <w:rPr>
          <w:rFonts w:hint="eastAsia"/>
          <w:sz w:val="23"/>
          <w:szCs w:val="23"/>
        </w:rPr>
        <w:t>（如除斥期间、法定上诉期限、申请执行期限等）</w:t>
      </w:r>
      <w:r>
        <w:rPr>
          <w:sz w:val="23"/>
          <w:szCs w:val="23"/>
        </w:rPr>
        <w:t>或缺少诉讼时效中断、中止的任何证明</w:t>
      </w:r>
      <w:r>
        <w:rPr>
          <w:rFonts w:hint="eastAsia"/>
          <w:sz w:val="23"/>
          <w:szCs w:val="23"/>
        </w:rPr>
        <w:t>或</w:t>
      </w:r>
      <w:r>
        <w:rPr>
          <w:sz w:val="23"/>
          <w:szCs w:val="23"/>
        </w:rPr>
        <w:t>因其他原因已部分消灭或成为自然债；</w:t>
      </w:r>
    </w:p>
    <w:p w14:paraId="5466C98A">
      <w:pPr>
        <w:pStyle w:val="32"/>
        <w:numPr>
          <w:ilvl w:val="0"/>
          <w:numId w:val="5"/>
        </w:numPr>
        <w:spacing w:after="240" w:afterLines="100" w:line="300" w:lineRule="auto"/>
        <w:rPr>
          <w:sz w:val="23"/>
          <w:szCs w:val="23"/>
        </w:rPr>
      </w:pPr>
      <w:r>
        <w:rPr>
          <w:sz w:val="23"/>
          <w:szCs w:val="23"/>
        </w:rPr>
        <w:t>标的资产</w:t>
      </w:r>
      <w:r>
        <w:rPr>
          <w:rFonts w:hint="eastAsia"/>
          <w:sz w:val="23"/>
          <w:szCs w:val="23"/>
        </w:rPr>
        <w:t>相关</w:t>
      </w:r>
      <w:r>
        <w:rPr>
          <w:sz w:val="23"/>
          <w:szCs w:val="23"/>
        </w:rPr>
        <w:t>的</w:t>
      </w:r>
      <w:r>
        <w:rPr>
          <w:rFonts w:hint="eastAsia"/>
          <w:sz w:val="23"/>
          <w:szCs w:val="23"/>
        </w:rPr>
        <w:t>主合同及</w:t>
      </w:r>
      <w:r>
        <w:rPr>
          <w:sz w:val="23"/>
          <w:szCs w:val="23"/>
        </w:rPr>
        <w:t>保证合同、抵押合同、质押合同等担保合同</w:t>
      </w:r>
      <w:r>
        <w:rPr>
          <w:rFonts w:hint="eastAsia"/>
          <w:sz w:val="23"/>
          <w:szCs w:val="23"/>
        </w:rPr>
        <w:t>可能存在</w:t>
      </w:r>
      <w:r>
        <w:rPr>
          <w:sz w:val="23"/>
          <w:szCs w:val="23"/>
        </w:rPr>
        <w:t>本身因违反法律规定而无效或被撤销，</w:t>
      </w:r>
      <w:r>
        <w:rPr>
          <w:rFonts w:hint="eastAsia"/>
          <w:sz w:val="23"/>
          <w:szCs w:val="23"/>
        </w:rPr>
        <w:t>债务人或</w:t>
      </w:r>
      <w:r>
        <w:rPr>
          <w:sz w:val="23"/>
          <w:szCs w:val="23"/>
        </w:rPr>
        <w:t>担保人没有过错或仅承担部分过错责任</w:t>
      </w:r>
      <w:r>
        <w:rPr>
          <w:rFonts w:hint="eastAsia"/>
          <w:sz w:val="23"/>
          <w:szCs w:val="23"/>
        </w:rPr>
        <w:t>的情形</w:t>
      </w:r>
      <w:r>
        <w:rPr>
          <w:sz w:val="23"/>
          <w:szCs w:val="23"/>
        </w:rPr>
        <w:t xml:space="preserve">； </w:t>
      </w:r>
    </w:p>
    <w:p w14:paraId="6BB6278B">
      <w:pPr>
        <w:pStyle w:val="32"/>
        <w:numPr>
          <w:ilvl w:val="0"/>
          <w:numId w:val="5"/>
        </w:numPr>
        <w:spacing w:after="240" w:afterLines="100" w:line="300" w:lineRule="auto"/>
        <w:rPr>
          <w:sz w:val="23"/>
          <w:szCs w:val="23"/>
        </w:rPr>
      </w:pPr>
      <w:r>
        <w:rPr>
          <w:sz w:val="23"/>
          <w:szCs w:val="23"/>
        </w:rPr>
        <w:t>标的资产附属的</w:t>
      </w:r>
      <w:r>
        <w:rPr>
          <w:rFonts w:hint="eastAsia"/>
          <w:sz w:val="23"/>
          <w:szCs w:val="23"/>
        </w:rPr>
        <w:t>担保</w:t>
      </w:r>
      <w:r>
        <w:rPr>
          <w:sz w:val="23"/>
          <w:szCs w:val="23"/>
        </w:rPr>
        <w:t>合同</w:t>
      </w:r>
      <w:r>
        <w:rPr>
          <w:rFonts w:hint="eastAsia"/>
          <w:sz w:val="23"/>
          <w:szCs w:val="23"/>
        </w:rPr>
        <w:t>可能存在主债权不可转让或担保人只对特定债权人承担担保责任的情形；</w:t>
      </w:r>
    </w:p>
    <w:p w14:paraId="3D471A47">
      <w:pPr>
        <w:pStyle w:val="32"/>
        <w:numPr>
          <w:ilvl w:val="0"/>
          <w:numId w:val="5"/>
        </w:numPr>
        <w:spacing w:after="240" w:afterLines="100" w:line="300" w:lineRule="auto"/>
        <w:rPr>
          <w:sz w:val="23"/>
          <w:szCs w:val="23"/>
        </w:rPr>
      </w:pPr>
      <w:r>
        <w:rPr>
          <w:sz w:val="23"/>
          <w:szCs w:val="23"/>
        </w:rPr>
        <w:t>标的资产的</w:t>
      </w:r>
      <w:r>
        <w:rPr>
          <w:rFonts w:hint="eastAsia"/>
          <w:sz w:val="23"/>
          <w:szCs w:val="23"/>
        </w:rPr>
        <w:t>担保物可能不存在，或存在担保物已</w:t>
      </w:r>
      <w:r>
        <w:rPr>
          <w:sz w:val="23"/>
          <w:szCs w:val="23"/>
        </w:rPr>
        <w:t>灭失且没有代位物或</w:t>
      </w:r>
      <w:r>
        <w:rPr>
          <w:rFonts w:hint="eastAsia"/>
          <w:sz w:val="23"/>
          <w:szCs w:val="23"/>
        </w:rPr>
        <w:t>没有</w:t>
      </w:r>
      <w:r>
        <w:rPr>
          <w:sz w:val="23"/>
          <w:szCs w:val="23"/>
        </w:rPr>
        <w:t>其他物上代位权可行使</w:t>
      </w:r>
      <w:r>
        <w:rPr>
          <w:rFonts w:hint="eastAsia"/>
          <w:sz w:val="23"/>
          <w:szCs w:val="23"/>
        </w:rPr>
        <w:t>，或担保物已为第三人善意取得的情形</w:t>
      </w:r>
      <w:r>
        <w:rPr>
          <w:sz w:val="23"/>
          <w:szCs w:val="23"/>
        </w:rPr>
        <w:t>；</w:t>
      </w:r>
    </w:p>
    <w:p w14:paraId="48812B4D">
      <w:pPr>
        <w:pStyle w:val="32"/>
        <w:numPr>
          <w:ilvl w:val="0"/>
          <w:numId w:val="5"/>
        </w:numPr>
        <w:spacing w:after="240" w:afterLines="100" w:line="300" w:lineRule="auto"/>
        <w:rPr>
          <w:sz w:val="23"/>
          <w:szCs w:val="23"/>
        </w:rPr>
      </w:pPr>
      <w:r>
        <w:rPr>
          <w:sz w:val="23"/>
          <w:szCs w:val="23"/>
        </w:rPr>
        <w:t>标的资产</w:t>
      </w:r>
      <w:r>
        <w:rPr>
          <w:rFonts w:hint="eastAsia"/>
          <w:sz w:val="23"/>
          <w:szCs w:val="23"/>
        </w:rPr>
        <w:t>可能存在</w:t>
      </w:r>
      <w:r>
        <w:rPr>
          <w:sz w:val="23"/>
          <w:szCs w:val="23"/>
        </w:rPr>
        <w:t>相关的担保合同实际</w:t>
      </w:r>
      <w:r>
        <w:rPr>
          <w:rFonts w:hint="eastAsia"/>
          <w:sz w:val="23"/>
          <w:szCs w:val="23"/>
        </w:rPr>
        <w:t>不成立、</w:t>
      </w:r>
      <w:r>
        <w:rPr>
          <w:sz w:val="23"/>
          <w:szCs w:val="23"/>
        </w:rPr>
        <w:t>未生效</w:t>
      </w:r>
      <w:r>
        <w:rPr>
          <w:rFonts w:hint="eastAsia"/>
          <w:sz w:val="23"/>
          <w:szCs w:val="23"/>
        </w:rPr>
        <w:t>、无效、可能被撤销</w:t>
      </w:r>
      <w:r>
        <w:rPr>
          <w:sz w:val="23"/>
          <w:szCs w:val="23"/>
        </w:rPr>
        <w:t>，担保物权</w:t>
      </w:r>
      <w:r>
        <w:rPr>
          <w:rFonts w:hint="eastAsia"/>
          <w:sz w:val="23"/>
          <w:szCs w:val="23"/>
        </w:rPr>
        <w:t>因</w:t>
      </w:r>
      <w:r>
        <w:rPr>
          <w:sz w:val="23"/>
          <w:szCs w:val="23"/>
        </w:rPr>
        <w:t>应办理抵押、质押登记而未办理</w:t>
      </w:r>
      <w:r>
        <w:rPr>
          <w:rFonts w:hint="eastAsia"/>
          <w:sz w:val="23"/>
          <w:szCs w:val="23"/>
        </w:rPr>
        <w:t>等原因未有效设立的情形</w:t>
      </w:r>
      <w:r>
        <w:rPr>
          <w:sz w:val="23"/>
          <w:szCs w:val="23"/>
        </w:rPr>
        <w:t xml:space="preserve">； </w:t>
      </w:r>
    </w:p>
    <w:p w14:paraId="2EFE33FE">
      <w:pPr>
        <w:pStyle w:val="32"/>
        <w:numPr>
          <w:ilvl w:val="0"/>
          <w:numId w:val="5"/>
        </w:numPr>
        <w:spacing w:after="240" w:afterLines="100" w:line="300" w:lineRule="auto"/>
        <w:rPr>
          <w:sz w:val="23"/>
          <w:szCs w:val="23"/>
        </w:rPr>
      </w:pPr>
      <w:r>
        <w:rPr>
          <w:sz w:val="23"/>
          <w:szCs w:val="23"/>
        </w:rPr>
        <w:t>标的资产及其附属的最高额</w:t>
      </w:r>
      <w:r>
        <w:rPr>
          <w:rFonts w:hint="eastAsia"/>
          <w:sz w:val="23"/>
          <w:szCs w:val="23"/>
        </w:rPr>
        <w:t>担保</w:t>
      </w:r>
      <w:r>
        <w:rPr>
          <w:sz w:val="23"/>
          <w:szCs w:val="23"/>
        </w:rPr>
        <w:t>，可能</w:t>
      </w:r>
      <w:r>
        <w:rPr>
          <w:rFonts w:hint="eastAsia"/>
          <w:sz w:val="23"/>
          <w:szCs w:val="23"/>
        </w:rPr>
        <w:t>存在</w:t>
      </w:r>
      <w:r>
        <w:rPr>
          <w:sz w:val="23"/>
          <w:szCs w:val="23"/>
        </w:rPr>
        <w:t>在最高额</w:t>
      </w:r>
      <w:r>
        <w:rPr>
          <w:rFonts w:hint="eastAsia"/>
          <w:sz w:val="23"/>
          <w:szCs w:val="23"/>
        </w:rPr>
        <w:t>担保未确定或担保</w:t>
      </w:r>
      <w:r>
        <w:rPr>
          <w:sz w:val="23"/>
          <w:szCs w:val="23"/>
        </w:rPr>
        <w:t>的</w:t>
      </w:r>
      <w:r>
        <w:rPr>
          <w:rFonts w:hint="eastAsia"/>
          <w:sz w:val="23"/>
          <w:szCs w:val="23"/>
        </w:rPr>
        <w:t>债权确定</w:t>
      </w:r>
      <w:r>
        <w:rPr>
          <w:sz w:val="23"/>
          <w:szCs w:val="23"/>
        </w:rPr>
        <w:t>前发生一次或数次转让，从而造成</w:t>
      </w:r>
      <w:r>
        <w:rPr>
          <w:rFonts w:hint="eastAsia"/>
          <w:sz w:val="23"/>
          <w:szCs w:val="23"/>
        </w:rPr>
        <w:t>担保</w:t>
      </w:r>
      <w:r>
        <w:rPr>
          <w:sz w:val="23"/>
          <w:szCs w:val="23"/>
        </w:rPr>
        <w:t>权甚至主债权落空的</w:t>
      </w:r>
      <w:r>
        <w:rPr>
          <w:rFonts w:hint="eastAsia"/>
          <w:sz w:val="23"/>
          <w:szCs w:val="23"/>
        </w:rPr>
        <w:t>情形</w:t>
      </w:r>
      <w:r>
        <w:rPr>
          <w:sz w:val="23"/>
          <w:szCs w:val="23"/>
        </w:rPr>
        <w:t>；</w:t>
      </w:r>
    </w:p>
    <w:p w14:paraId="7E07DA40">
      <w:pPr>
        <w:pStyle w:val="32"/>
        <w:numPr>
          <w:ilvl w:val="0"/>
          <w:numId w:val="5"/>
        </w:numPr>
        <w:spacing w:after="240" w:afterLines="100" w:line="300" w:lineRule="auto"/>
        <w:rPr>
          <w:sz w:val="23"/>
          <w:szCs w:val="23"/>
        </w:rPr>
      </w:pPr>
      <w:r>
        <w:rPr>
          <w:rFonts w:hint="eastAsia"/>
          <w:sz w:val="23"/>
          <w:szCs w:val="23"/>
        </w:rPr>
        <w:t>标的资产中主债权、从权利或相关权益可能存在未生效、无效或被撤销的情形；</w:t>
      </w:r>
      <w:r>
        <w:rPr>
          <w:sz w:val="23"/>
          <w:szCs w:val="23"/>
        </w:rPr>
        <w:t>部分标的资产可能</w:t>
      </w:r>
      <w:r>
        <w:rPr>
          <w:rFonts w:hint="eastAsia"/>
          <w:sz w:val="23"/>
          <w:szCs w:val="23"/>
        </w:rPr>
        <w:t>存在</w:t>
      </w:r>
      <w:r>
        <w:rPr>
          <w:sz w:val="23"/>
          <w:szCs w:val="23"/>
        </w:rPr>
        <w:t>已被全部或部分减免、被抵销、被清偿</w:t>
      </w:r>
      <w:r>
        <w:rPr>
          <w:rFonts w:hint="eastAsia"/>
          <w:sz w:val="23"/>
          <w:szCs w:val="23"/>
        </w:rPr>
        <w:t>的情形</w:t>
      </w:r>
      <w:r>
        <w:rPr>
          <w:sz w:val="23"/>
          <w:szCs w:val="23"/>
        </w:rPr>
        <w:t>；</w:t>
      </w:r>
    </w:p>
    <w:p w14:paraId="51ED3F3E">
      <w:pPr>
        <w:pStyle w:val="32"/>
        <w:numPr>
          <w:ilvl w:val="0"/>
          <w:numId w:val="5"/>
        </w:numPr>
        <w:spacing w:after="240" w:afterLines="100" w:line="300" w:lineRule="auto"/>
        <w:rPr>
          <w:sz w:val="23"/>
          <w:szCs w:val="23"/>
        </w:rPr>
      </w:pPr>
      <w:r>
        <w:rPr>
          <w:rFonts w:hint="eastAsia"/>
          <w:sz w:val="23"/>
          <w:szCs w:val="23"/>
        </w:rPr>
        <w:t>涉诉资产可能存在</w:t>
      </w:r>
      <w:r>
        <w:rPr>
          <w:sz w:val="23"/>
          <w:szCs w:val="23"/>
        </w:rPr>
        <w:t>经法院或仲裁机构裁判未获得其支持而败诉或部分败诉、法院裁定终结执行等</w:t>
      </w:r>
      <w:r>
        <w:rPr>
          <w:rFonts w:hint="eastAsia"/>
          <w:sz w:val="23"/>
          <w:szCs w:val="23"/>
        </w:rPr>
        <w:t>情形</w:t>
      </w:r>
      <w:r>
        <w:rPr>
          <w:sz w:val="23"/>
          <w:szCs w:val="23"/>
        </w:rPr>
        <w:t>；</w:t>
      </w:r>
    </w:p>
    <w:p w14:paraId="556E2AD8">
      <w:pPr>
        <w:pStyle w:val="32"/>
        <w:numPr>
          <w:ilvl w:val="0"/>
          <w:numId w:val="5"/>
        </w:numPr>
        <w:spacing w:after="240" w:afterLines="100" w:line="300" w:lineRule="auto"/>
        <w:rPr>
          <w:sz w:val="23"/>
          <w:szCs w:val="23"/>
        </w:rPr>
      </w:pPr>
      <w:r>
        <w:rPr>
          <w:sz w:val="23"/>
          <w:szCs w:val="23"/>
        </w:rPr>
        <w:t>资产文件的复印件中部分文件可能</w:t>
      </w:r>
      <w:r>
        <w:rPr>
          <w:rFonts w:hint="eastAsia"/>
          <w:sz w:val="23"/>
          <w:szCs w:val="23"/>
        </w:rPr>
        <w:t>存在</w:t>
      </w:r>
      <w:r>
        <w:rPr>
          <w:sz w:val="23"/>
          <w:szCs w:val="23"/>
        </w:rPr>
        <w:t>缺乏相对应的原件，或者资产文件缺失或不完整</w:t>
      </w:r>
      <w:r>
        <w:rPr>
          <w:rFonts w:hint="eastAsia"/>
          <w:sz w:val="23"/>
          <w:szCs w:val="23"/>
        </w:rPr>
        <w:t>的情形</w:t>
      </w:r>
      <w:r>
        <w:rPr>
          <w:sz w:val="23"/>
          <w:szCs w:val="23"/>
        </w:rPr>
        <w:t xml:space="preserve">； </w:t>
      </w:r>
    </w:p>
    <w:p w14:paraId="62555F02">
      <w:pPr>
        <w:pStyle w:val="32"/>
        <w:numPr>
          <w:ilvl w:val="0"/>
          <w:numId w:val="5"/>
        </w:numPr>
        <w:spacing w:after="240" w:afterLines="100" w:line="300" w:lineRule="auto"/>
        <w:rPr>
          <w:sz w:val="23"/>
          <w:szCs w:val="23"/>
        </w:rPr>
      </w:pPr>
      <w:r>
        <w:rPr>
          <w:sz w:val="23"/>
          <w:szCs w:val="23"/>
        </w:rPr>
        <w:t>前手未就债权资产的转让通知义务人使得债权转让尚未对义务人发生法律效力；</w:t>
      </w:r>
    </w:p>
    <w:p w14:paraId="2E8DF7C1">
      <w:pPr>
        <w:pStyle w:val="32"/>
        <w:numPr>
          <w:ilvl w:val="0"/>
          <w:numId w:val="5"/>
        </w:numPr>
        <w:spacing w:after="240" w:afterLines="100" w:line="300" w:lineRule="auto"/>
        <w:rPr>
          <w:sz w:val="23"/>
          <w:szCs w:val="23"/>
        </w:rPr>
      </w:pPr>
      <w:r>
        <w:rPr>
          <w:rFonts w:hint="eastAsia"/>
          <w:sz w:val="23"/>
          <w:szCs w:val="23"/>
        </w:rPr>
        <w:t>标的资产的其他瑕疵或风险。</w:t>
      </w:r>
    </w:p>
    <w:p w14:paraId="6E665ADC">
      <w:pPr>
        <w:pStyle w:val="32"/>
        <w:numPr>
          <w:ilvl w:val="1"/>
          <w:numId w:val="4"/>
        </w:numPr>
        <w:spacing w:after="240" w:afterLines="100" w:line="300" w:lineRule="auto"/>
        <w:jc w:val="both"/>
        <w:outlineLvl w:val="1"/>
        <w:rPr>
          <w:rFonts w:ascii="Times New Roman"/>
          <w:color w:val="auto"/>
          <w:kern w:val="2"/>
          <w:sz w:val="23"/>
        </w:rPr>
      </w:pPr>
      <w:bookmarkStart w:id="9" w:name="_Ref468045232"/>
      <w:r>
        <w:rPr>
          <w:rFonts w:ascii="Times New Roman"/>
          <w:color w:val="auto"/>
          <w:kern w:val="2"/>
          <w:sz w:val="23"/>
        </w:rPr>
        <w:t>乙方独立决策的确认</w:t>
      </w:r>
    </w:p>
    <w:p w14:paraId="0D63A868">
      <w:pPr>
        <w:pStyle w:val="38"/>
        <w:numPr>
          <w:ilvl w:val="2"/>
          <w:numId w:val="4"/>
        </w:numPr>
        <w:spacing w:after="240" w:afterLines="100" w:line="300" w:lineRule="auto"/>
        <w:jc w:val="both"/>
        <w:rPr>
          <w:rFonts w:ascii="Times New Roman"/>
          <w:kern w:val="2"/>
          <w:sz w:val="23"/>
        </w:rPr>
      </w:pPr>
      <w:r>
        <w:rPr>
          <w:rFonts w:ascii="Times New Roman"/>
          <w:kern w:val="2"/>
          <w:sz w:val="23"/>
        </w:rPr>
        <w:t>乙方确认，乙方对</w:t>
      </w:r>
      <w:r>
        <w:rPr>
          <w:rFonts w:hint="eastAsia" w:ascii="Times New Roman"/>
          <w:kern w:val="2"/>
          <w:sz w:val="23"/>
        </w:rPr>
        <w:t>标的</w:t>
      </w:r>
      <w:r>
        <w:rPr>
          <w:rFonts w:ascii="Times New Roman"/>
          <w:kern w:val="2"/>
          <w:sz w:val="23"/>
        </w:rPr>
        <w:t>资产的定价系其根据标的资产情况、义务人的履行能力、义务人</w:t>
      </w:r>
      <w:r>
        <w:rPr>
          <w:rFonts w:hint="eastAsia" w:ascii="Times New Roman"/>
          <w:kern w:val="2"/>
          <w:sz w:val="23"/>
        </w:rPr>
        <w:t>的履约意愿</w:t>
      </w:r>
      <w:r>
        <w:rPr>
          <w:rFonts w:ascii="Times New Roman"/>
          <w:kern w:val="2"/>
          <w:sz w:val="23"/>
        </w:rPr>
        <w:t>、法律政策</w:t>
      </w:r>
      <w:r>
        <w:rPr>
          <w:rFonts w:hint="eastAsia" w:ascii="Times New Roman"/>
          <w:kern w:val="2"/>
          <w:sz w:val="23"/>
        </w:rPr>
        <w:t>等各项</w:t>
      </w:r>
      <w:r>
        <w:rPr>
          <w:rFonts w:ascii="Times New Roman"/>
          <w:kern w:val="2"/>
          <w:sz w:val="23"/>
        </w:rPr>
        <w:t>风险等影响标的资产价值的一切因素进行综合考虑后</w:t>
      </w:r>
      <w:r>
        <w:rPr>
          <w:rFonts w:hint="eastAsia" w:ascii="Times New Roman"/>
          <w:kern w:val="2"/>
          <w:sz w:val="23"/>
        </w:rPr>
        <w:t>独立</w:t>
      </w:r>
      <w:r>
        <w:rPr>
          <w:rFonts w:ascii="Times New Roman"/>
          <w:kern w:val="2"/>
          <w:sz w:val="23"/>
        </w:rPr>
        <w:t>作出的商业决策。</w:t>
      </w:r>
    </w:p>
    <w:p w14:paraId="44012C9E">
      <w:pPr>
        <w:pStyle w:val="38"/>
        <w:numPr>
          <w:ilvl w:val="2"/>
          <w:numId w:val="4"/>
        </w:numPr>
        <w:spacing w:after="240" w:afterLines="100" w:line="300" w:lineRule="auto"/>
        <w:jc w:val="both"/>
      </w:pPr>
      <w:r>
        <w:rPr>
          <w:rFonts w:ascii="Times New Roman"/>
          <w:kern w:val="2"/>
          <w:sz w:val="23"/>
        </w:rPr>
        <w:t>乙方作出前述商业决策前，已对标的资产的情况开展了有关法律及财务方面的尽职调查工作，乙方开展的尽职调查工作并不依赖于甲方提供的任何与标的资产有关的文件、资料、说明或协助。</w:t>
      </w:r>
    </w:p>
    <w:p w14:paraId="1F60AEA9">
      <w:pPr>
        <w:pStyle w:val="38"/>
        <w:numPr>
          <w:ilvl w:val="2"/>
          <w:numId w:val="4"/>
        </w:numPr>
        <w:spacing w:after="240" w:afterLines="100" w:line="300" w:lineRule="auto"/>
        <w:jc w:val="both"/>
        <w:rPr>
          <w:rFonts w:ascii="Times New Roman"/>
          <w:kern w:val="2"/>
          <w:sz w:val="23"/>
        </w:rPr>
      </w:pPr>
      <w:r>
        <w:rPr>
          <w:rFonts w:hint="eastAsia" w:ascii="Times New Roman"/>
          <w:kern w:val="2"/>
          <w:sz w:val="23"/>
        </w:rPr>
        <w:t>乙方已被告知、仔细阅读并完全理解本协议揭示的风险，自愿承担由上述风险造成的一切损失以及不能获得相应预期利益的后果。</w:t>
      </w:r>
    </w:p>
    <w:bookmarkEnd w:id="9"/>
    <w:p w14:paraId="17C40A35">
      <w:pPr>
        <w:pStyle w:val="32"/>
        <w:numPr>
          <w:ilvl w:val="0"/>
          <w:numId w:val="4"/>
        </w:numPr>
        <w:spacing w:after="240" w:afterLines="100" w:line="300" w:lineRule="auto"/>
        <w:jc w:val="both"/>
        <w:outlineLvl w:val="0"/>
        <w:rPr>
          <w:rFonts w:ascii="Times New Roman"/>
          <w:b/>
          <w:bCs/>
          <w:color w:val="auto"/>
          <w:kern w:val="2"/>
          <w:sz w:val="23"/>
          <w:szCs w:val="28"/>
        </w:rPr>
      </w:pPr>
      <w:bookmarkStart w:id="10" w:name="_Ref468026936"/>
      <w:bookmarkStart w:id="11" w:name="_Ref468045367"/>
      <w:bookmarkStart w:id="12" w:name="_Toc467844812"/>
      <w:bookmarkStart w:id="13" w:name="_Ref468027630"/>
      <w:bookmarkStart w:id="14" w:name="_Toc240895599"/>
      <w:r>
        <w:rPr>
          <w:rFonts w:ascii="Times New Roman"/>
          <w:b/>
          <w:bCs/>
          <w:color w:val="auto"/>
          <w:kern w:val="2"/>
          <w:sz w:val="23"/>
          <w:szCs w:val="28"/>
        </w:rPr>
        <w:t>价款</w:t>
      </w:r>
      <w:r>
        <w:rPr>
          <w:rFonts w:hint="eastAsia" w:ascii="Times New Roman"/>
          <w:b/>
          <w:bCs/>
          <w:color w:val="auto"/>
          <w:kern w:val="2"/>
          <w:sz w:val="23"/>
          <w:szCs w:val="28"/>
        </w:rPr>
        <w:t>及</w:t>
      </w:r>
      <w:r>
        <w:rPr>
          <w:rFonts w:ascii="Times New Roman"/>
          <w:b/>
          <w:bCs/>
          <w:color w:val="auto"/>
          <w:kern w:val="2"/>
          <w:sz w:val="23"/>
          <w:szCs w:val="28"/>
        </w:rPr>
        <w:t>支付</w:t>
      </w:r>
      <w:bookmarkEnd w:id="10"/>
      <w:bookmarkEnd w:id="11"/>
      <w:bookmarkEnd w:id="12"/>
      <w:bookmarkEnd w:id="13"/>
      <w:r>
        <w:rPr>
          <w:rFonts w:hint="eastAsia" w:ascii="Times New Roman"/>
          <w:b/>
          <w:bCs/>
          <w:color w:val="auto"/>
          <w:kern w:val="2"/>
          <w:sz w:val="23"/>
          <w:szCs w:val="28"/>
        </w:rPr>
        <w:t>方式</w:t>
      </w:r>
      <w:bookmarkEnd w:id="14"/>
    </w:p>
    <w:p w14:paraId="25A4089E">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保证金</w:t>
      </w:r>
    </w:p>
    <w:p w14:paraId="68F7D909">
      <w:pPr>
        <w:pStyle w:val="38"/>
        <w:numPr>
          <w:ilvl w:val="2"/>
          <w:numId w:val="4"/>
        </w:numPr>
        <w:spacing w:after="240" w:afterLines="100" w:line="300" w:lineRule="auto"/>
        <w:jc w:val="both"/>
        <w:rPr>
          <w:rFonts w:ascii="Times New Roman"/>
          <w:kern w:val="2"/>
          <w:sz w:val="23"/>
        </w:rPr>
      </w:pPr>
      <w:r>
        <w:rPr>
          <w:rFonts w:hint="eastAsia" w:ascii="Times New Roman"/>
          <w:kern w:val="2"/>
          <w:sz w:val="23"/>
        </w:rPr>
        <w:t>双方确认，甲方在本协议生效前已经收到乙方交纳的报价保证金人民币【】元（小写：【】），该报价保证金在本协议生效后自动转化为交易保证金（以下简称“保证金”）。本协议项下保证金及乙方所交纳的其他款项的交纳、管存、转化、退还均不计利息。乙方未按期足额支付转让价款或乙方承担费用的，甲方有权直接划扣保证金等额抵扣乙方应付未付款项并有权决定抵扣顺序；乙方违反本协议义务给甲方造成损失的，甲方还有权直接划扣保证金弥补损失，保证金不足以弥补损失的，甲方有权向乙方继续追偿</w:t>
      </w:r>
      <w:r>
        <w:rPr>
          <w:rFonts w:ascii="Times New Roman"/>
          <w:kern w:val="2"/>
          <w:sz w:val="23"/>
        </w:rPr>
        <w:t>。</w:t>
      </w:r>
    </w:p>
    <w:p w14:paraId="0B853DEB">
      <w:pPr>
        <w:pStyle w:val="38"/>
        <w:numPr>
          <w:ilvl w:val="2"/>
          <w:numId w:val="4"/>
        </w:numPr>
        <w:spacing w:after="240" w:afterLines="100" w:line="300" w:lineRule="auto"/>
        <w:jc w:val="both"/>
        <w:rPr>
          <w:rFonts w:ascii="Times New Roman"/>
          <w:kern w:val="2"/>
          <w:sz w:val="23"/>
        </w:rPr>
      </w:pPr>
      <w:r>
        <w:rPr>
          <w:rFonts w:hint="eastAsia" w:ascii="Times New Roman"/>
          <w:kern w:val="2"/>
          <w:sz w:val="23"/>
        </w:rPr>
        <w:t>双方确认，按以下第【①】种方式对保证金进行处理：</w:t>
      </w:r>
    </w:p>
    <w:p w14:paraId="602FA963">
      <w:pPr>
        <w:pStyle w:val="32"/>
        <w:numPr>
          <w:ilvl w:val="0"/>
          <w:numId w:val="6"/>
        </w:numPr>
        <w:spacing w:after="240" w:afterLines="100" w:line="300" w:lineRule="auto"/>
        <w:rPr>
          <w:sz w:val="23"/>
          <w:szCs w:val="23"/>
        </w:rPr>
      </w:pPr>
      <w:r>
        <w:rPr>
          <w:rFonts w:hint="eastAsia"/>
          <w:sz w:val="23"/>
          <w:szCs w:val="23"/>
        </w:rPr>
        <w:t>甲方</w:t>
      </w:r>
      <w:r>
        <w:rPr>
          <w:rFonts w:hint="eastAsia" w:ascii="Times New Roman"/>
          <w:color w:val="auto"/>
          <w:sz w:val="23"/>
          <w:szCs w:val="23"/>
        </w:rPr>
        <w:t>同意</w:t>
      </w:r>
      <w:bookmarkStart w:id="15" w:name="OLE_LINK11"/>
      <w:r>
        <w:rPr>
          <w:rFonts w:hint="eastAsia" w:ascii="Times New Roman"/>
          <w:color w:val="auto"/>
          <w:sz w:val="23"/>
          <w:szCs w:val="23"/>
        </w:rPr>
        <w:t>保证金等额转化为转让价款</w:t>
      </w:r>
      <w:bookmarkEnd w:id="15"/>
      <w:r>
        <w:rPr>
          <w:rFonts w:hint="eastAsia" w:ascii="Times New Roman"/>
          <w:color w:val="auto"/>
          <w:sz w:val="23"/>
          <w:szCs w:val="23"/>
        </w:rPr>
        <w:t>，乙方已交纳之保证金余额于</w:t>
      </w:r>
      <w:bookmarkStart w:id="16" w:name="OLE_LINK10"/>
      <w:bookmarkStart w:id="17" w:name="OLE_LINK9"/>
      <w:r>
        <w:rPr>
          <w:rFonts w:hint="eastAsia" w:ascii="Times New Roman"/>
          <w:color w:val="auto"/>
          <w:sz w:val="23"/>
          <w:szCs w:val="23"/>
        </w:rPr>
        <w:t>乙方支付完毕转让价款</w:t>
      </w:r>
      <w:bookmarkEnd w:id="16"/>
      <w:bookmarkEnd w:id="17"/>
      <w:r>
        <w:rPr>
          <w:rFonts w:hint="eastAsia" w:ascii="Times New Roman"/>
          <w:color w:val="auto"/>
          <w:sz w:val="23"/>
          <w:szCs w:val="23"/>
        </w:rPr>
        <w:t>【即付部分及全部乙方承担费用】时自动等额转化为转让价款的一部分。</w:t>
      </w:r>
    </w:p>
    <w:p w14:paraId="5DC7C64C">
      <w:pPr>
        <w:pStyle w:val="32"/>
        <w:numPr>
          <w:ilvl w:val="0"/>
          <w:numId w:val="6"/>
        </w:numPr>
        <w:spacing w:after="240" w:afterLines="100" w:line="300" w:lineRule="auto"/>
        <w:rPr>
          <w:sz w:val="23"/>
          <w:szCs w:val="23"/>
        </w:rPr>
      </w:pPr>
      <w:r>
        <w:rPr>
          <w:rFonts w:hint="eastAsia"/>
          <w:sz w:val="23"/>
          <w:szCs w:val="23"/>
        </w:rPr>
        <w:t>甲方不选择以保证金转化为转让价款，在乙方未发生应被全额扣收保证金的前提下，甲方于【交割日】后【】个工作日内将乙方已交纳之保证金余额退还至乙方指定如下银行账户：</w:t>
      </w:r>
    </w:p>
    <w:p w14:paraId="75C183F0">
      <w:pPr>
        <w:pStyle w:val="32"/>
        <w:spacing w:after="240" w:afterLines="100" w:line="300" w:lineRule="auto"/>
        <w:ind w:left="710" w:leftChars="338" w:firstLine="1150" w:firstLineChars="500"/>
        <w:outlineLvl w:val="1"/>
        <w:rPr>
          <w:rFonts w:ascii="Times New Roman"/>
          <w:color w:val="auto"/>
          <w:kern w:val="2"/>
          <w:sz w:val="23"/>
        </w:rPr>
      </w:pPr>
      <w:r>
        <w:rPr>
          <w:rFonts w:hint="eastAsia" w:ascii="Times New Roman"/>
          <w:color w:val="auto"/>
          <w:kern w:val="2"/>
          <w:sz w:val="23"/>
        </w:rPr>
        <w:t>户名：【】</w:t>
      </w:r>
    </w:p>
    <w:p w14:paraId="5CB63E7C">
      <w:pPr>
        <w:pStyle w:val="32"/>
        <w:spacing w:after="240" w:afterLines="100" w:line="300" w:lineRule="auto"/>
        <w:ind w:left="710" w:leftChars="338" w:firstLine="1150" w:firstLineChars="500"/>
        <w:outlineLvl w:val="1"/>
        <w:rPr>
          <w:rFonts w:ascii="Times New Roman"/>
          <w:color w:val="auto"/>
          <w:kern w:val="2"/>
          <w:sz w:val="23"/>
        </w:rPr>
      </w:pPr>
      <w:r>
        <w:rPr>
          <w:rFonts w:hint="eastAsia" w:ascii="Times New Roman"/>
          <w:color w:val="auto"/>
          <w:kern w:val="2"/>
          <w:sz w:val="23"/>
        </w:rPr>
        <w:t>开户银行：【】</w:t>
      </w:r>
    </w:p>
    <w:p w14:paraId="6012C3EE">
      <w:pPr>
        <w:pStyle w:val="32"/>
        <w:spacing w:after="240" w:afterLines="100" w:line="300" w:lineRule="auto"/>
        <w:ind w:left="710" w:leftChars="338" w:firstLine="1150" w:firstLineChars="500"/>
        <w:outlineLvl w:val="1"/>
        <w:rPr>
          <w:rFonts w:ascii="Times New Roman"/>
          <w:color w:val="auto"/>
          <w:kern w:val="2"/>
          <w:sz w:val="23"/>
        </w:rPr>
      </w:pPr>
      <w:r>
        <w:rPr>
          <w:rFonts w:hint="eastAsia" w:ascii="Times New Roman"/>
          <w:color w:val="auto"/>
          <w:kern w:val="2"/>
          <w:sz w:val="23"/>
        </w:rPr>
        <w:t>账号：【】</w:t>
      </w:r>
    </w:p>
    <w:p w14:paraId="755EB715">
      <w:pPr>
        <w:pStyle w:val="32"/>
        <w:spacing w:after="240" w:afterLines="100" w:line="300" w:lineRule="auto"/>
        <w:ind w:left="710" w:leftChars="338" w:firstLine="805" w:firstLineChars="350"/>
        <w:jc w:val="both"/>
        <w:outlineLvl w:val="1"/>
        <w:rPr>
          <w:rFonts w:ascii="Times New Roman"/>
          <w:color w:val="auto"/>
          <w:kern w:val="2"/>
          <w:sz w:val="23"/>
        </w:rPr>
      </w:pPr>
      <w:r>
        <w:rPr>
          <w:rFonts w:hint="eastAsia" w:ascii="Times New Roman"/>
          <w:color w:val="auto"/>
          <w:kern w:val="2"/>
          <w:sz w:val="23"/>
        </w:rPr>
        <w:t>【本协议项下，甲方向乙方支付任何其他款项，均通过本指定账户。】</w:t>
      </w:r>
    </w:p>
    <w:p w14:paraId="5412A101">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转让价款</w:t>
      </w:r>
    </w:p>
    <w:p w14:paraId="4D0382F2">
      <w:pPr>
        <w:pStyle w:val="32"/>
        <w:spacing w:after="240" w:afterLines="100" w:line="300" w:lineRule="auto"/>
        <w:ind w:left="709"/>
        <w:jc w:val="both"/>
        <w:outlineLvl w:val="1"/>
        <w:rPr>
          <w:rFonts w:ascii="Times New Roman"/>
          <w:color w:val="auto"/>
          <w:kern w:val="2"/>
          <w:sz w:val="23"/>
        </w:rPr>
      </w:pPr>
      <w:r>
        <w:rPr>
          <w:rFonts w:hint="eastAsia" w:ascii="Times New Roman"/>
          <w:color w:val="auto"/>
          <w:kern w:val="2"/>
          <w:sz w:val="23"/>
        </w:rPr>
        <w:t>本协议项下标的资产</w:t>
      </w:r>
      <w:r>
        <w:rPr>
          <w:rFonts w:ascii="Times New Roman"/>
          <w:color w:val="auto"/>
          <w:kern w:val="2"/>
          <w:sz w:val="23"/>
        </w:rPr>
        <w:t>的</w:t>
      </w:r>
      <w:r>
        <w:rPr>
          <w:rFonts w:hint="eastAsia" w:ascii="Times New Roman"/>
          <w:color w:val="auto"/>
          <w:kern w:val="2"/>
          <w:sz w:val="23"/>
        </w:rPr>
        <w:t>转让价款</w:t>
      </w:r>
      <w:r>
        <w:rPr>
          <w:rFonts w:ascii="Times New Roman"/>
          <w:color w:val="auto"/>
          <w:kern w:val="2"/>
          <w:sz w:val="23"/>
        </w:rPr>
        <w:t>为人民币</w:t>
      </w:r>
      <w:r>
        <w:rPr>
          <w:rFonts w:hint="eastAsia" w:ascii="Times New Roman"/>
          <w:color w:val="auto"/>
          <w:kern w:val="2"/>
          <w:sz w:val="23"/>
        </w:rPr>
        <w:t>【】</w:t>
      </w:r>
      <w:r>
        <w:rPr>
          <w:rFonts w:ascii="Times New Roman"/>
          <w:color w:val="auto"/>
          <w:kern w:val="2"/>
          <w:sz w:val="23"/>
        </w:rPr>
        <w:t>元</w:t>
      </w:r>
      <w:r>
        <w:rPr>
          <w:rFonts w:hint="eastAsia" w:ascii="Times New Roman"/>
          <w:color w:val="auto"/>
          <w:kern w:val="2"/>
          <w:sz w:val="23"/>
        </w:rPr>
        <w:t>（小写：【】）</w:t>
      </w:r>
      <w:r>
        <w:rPr>
          <w:rFonts w:ascii="Times New Roman"/>
          <w:color w:val="auto"/>
          <w:kern w:val="2"/>
          <w:sz w:val="23"/>
        </w:rPr>
        <w:t>。</w:t>
      </w:r>
    </w:p>
    <w:p w14:paraId="1C3B773F">
      <w:pPr>
        <w:pStyle w:val="32"/>
        <w:spacing w:after="240" w:afterLines="100" w:line="300" w:lineRule="auto"/>
        <w:ind w:left="709"/>
        <w:jc w:val="both"/>
        <w:outlineLvl w:val="1"/>
        <w:rPr>
          <w:rFonts w:ascii="Times New Roman"/>
          <w:color w:val="auto"/>
          <w:kern w:val="2"/>
          <w:sz w:val="23"/>
        </w:rPr>
      </w:pPr>
      <w:r>
        <w:rPr>
          <w:rFonts w:hint="eastAsia" w:ascii="Times New Roman"/>
          <w:color w:val="auto"/>
          <w:kern w:val="2"/>
          <w:sz w:val="23"/>
        </w:rPr>
        <w:t>【选择保证金转化为转让价款时适用：双方确认，乙方已交纳之保证金余额按照本协议约定等额转化为标的资产的转让价款，即乙方须另向甲方支付的价款总额为</w:t>
      </w:r>
      <w:r>
        <w:rPr>
          <w:rFonts w:hint="eastAsia" w:ascii="Times New Roman"/>
          <w:color w:val="auto"/>
          <w:kern w:val="2"/>
          <w:sz w:val="23"/>
          <w:u w:val="single"/>
        </w:rPr>
        <w:t xml:space="preserve">       </w:t>
      </w:r>
      <w:r>
        <w:rPr>
          <w:rFonts w:hint="eastAsia" w:ascii="Times New Roman"/>
          <w:color w:val="auto"/>
          <w:kern w:val="2"/>
          <w:sz w:val="23"/>
        </w:rPr>
        <w:t>元（小写：</w:t>
      </w:r>
      <w:r>
        <w:rPr>
          <w:rFonts w:hint="eastAsia" w:ascii="Times New Roman"/>
          <w:color w:val="auto"/>
          <w:kern w:val="2"/>
          <w:sz w:val="23"/>
          <w:u w:val="single"/>
        </w:rPr>
        <w:t xml:space="preserve">        </w:t>
      </w:r>
      <w:r>
        <w:rPr>
          <w:rFonts w:hint="eastAsia" w:ascii="Times New Roman"/>
          <w:color w:val="auto"/>
          <w:kern w:val="2"/>
          <w:sz w:val="23"/>
        </w:rPr>
        <w:t>）。】</w:t>
      </w:r>
    </w:p>
    <w:p w14:paraId="3CFC296E">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转让价款的支付</w:t>
      </w:r>
    </w:p>
    <w:p w14:paraId="2BEC3048">
      <w:pPr>
        <w:pStyle w:val="32"/>
        <w:spacing w:after="240" w:afterLines="100" w:line="300" w:lineRule="auto"/>
        <w:ind w:left="709"/>
        <w:jc w:val="both"/>
        <w:outlineLvl w:val="1"/>
        <w:rPr>
          <w:rFonts w:ascii="Times New Roman"/>
          <w:color w:val="auto"/>
          <w:kern w:val="2"/>
          <w:sz w:val="23"/>
        </w:rPr>
      </w:pPr>
      <w:r>
        <w:rPr>
          <w:rFonts w:hint="eastAsia" w:ascii="Times New Roman"/>
          <w:color w:val="auto"/>
          <w:kern w:val="2"/>
          <w:sz w:val="23"/>
        </w:rPr>
        <w:t>乙方应于本协议生效之日起【二】个工作日内，向甲方支付人民币【】元（小写：【】）的转让价款（含保证金转化的转让价款部分，首次支付的转让价款合计不低于标的资产转让价款的</w:t>
      </w:r>
      <w:r>
        <w:rPr>
          <w:rFonts w:hint="eastAsia" w:ascii="Times New Roman"/>
          <w:color w:val="auto"/>
          <w:kern w:val="2"/>
          <w:sz w:val="23"/>
          <w:lang w:val="en-US" w:eastAsia="zh-CN"/>
        </w:rPr>
        <w:t>4</w:t>
      </w:r>
      <w:r>
        <w:rPr>
          <w:rFonts w:hint="eastAsia" w:ascii="Times New Roman"/>
          <w:color w:val="auto"/>
          <w:kern w:val="2"/>
          <w:sz w:val="23"/>
        </w:rPr>
        <w:t>0%），即转让价款即付部分，12个月内合计支付金额不低于转让价款的</w:t>
      </w:r>
      <w:r>
        <w:rPr>
          <w:rFonts w:hint="eastAsia" w:ascii="Times New Roman"/>
          <w:color w:val="auto"/>
          <w:kern w:val="2"/>
          <w:sz w:val="23"/>
          <w:lang w:val="en-US" w:eastAsia="zh-CN"/>
        </w:rPr>
        <w:t>7</w:t>
      </w:r>
      <w:r>
        <w:rPr>
          <w:rFonts w:hint="eastAsia" w:ascii="Times New Roman"/>
          <w:color w:val="auto"/>
          <w:kern w:val="2"/>
          <w:sz w:val="23"/>
        </w:rPr>
        <w:t>0%，尾款于24个月内付清。经甲方同意，乙方可提前支付转让价款延付部分。</w:t>
      </w:r>
    </w:p>
    <w:p w14:paraId="3F5358B3">
      <w:pPr>
        <w:snapToGrid w:val="0"/>
        <w:spacing w:before="120" w:beforeLines="50" w:after="120" w:afterLines="50" w:line="360" w:lineRule="exact"/>
        <w:ind w:firstLine="709"/>
        <w:rPr>
          <w:sz w:val="23"/>
          <w:szCs w:val="24"/>
        </w:rPr>
      </w:pPr>
      <w:r>
        <w:rPr>
          <w:rFonts w:hint="eastAsia"/>
          <w:sz w:val="23"/>
          <w:szCs w:val="24"/>
        </w:rPr>
        <w:t>乙方应当将上述款项按期足额汇入甲方的如下银行账户：</w:t>
      </w:r>
    </w:p>
    <w:p w14:paraId="03E6F65D">
      <w:pPr>
        <w:snapToGrid w:val="0"/>
        <w:spacing w:before="120" w:beforeLines="50" w:after="120" w:afterLines="50" w:line="360" w:lineRule="exact"/>
        <w:ind w:firstLine="709"/>
        <w:rPr>
          <w:sz w:val="23"/>
          <w:szCs w:val="24"/>
        </w:rPr>
      </w:pPr>
      <w:r>
        <w:rPr>
          <w:rFonts w:hint="eastAsia"/>
          <w:sz w:val="23"/>
          <w:szCs w:val="24"/>
        </w:rPr>
        <w:t>户名：【中国东方资产管理股份有限公司山东省分公司】</w:t>
      </w:r>
    </w:p>
    <w:p w14:paraId="468692FC">
      <w:pPr>
        <w:snapToGrid w:val="0"/>
        <w:spacing w:before="120" w:beforeLines="50" w:after="120" w:afterLines="50" w:line="360" w:lineRule="exact"/>
        <w:ind w:firstLine="709"/>
        <w:rPr>
          <w:sz w:val="23"/>
          <w:szCs w:val="24"/>
        </w:rPr>
      </w:pPr>
      <w:r>
        <w:rPr>
          <w:rFonts w:hint="eastAsia"/>
          <w:sz w:val="23"/>
          <w:szCs w:val="24"/>
        </w:rPr>
        <w:t>开户银行：【中国银行北京金融中心支行】</w:t>
      </w:r>
    </w:p>
    <w:p w14:paraId="660F375F">
      <w:pPr>
        <w:snapToGrid w:val="0"/>
        <w:spacing w:before="120" w:beforeLines="50" w:after="120" w:afterLines="50" w:line="360" w:lineRule="exact"/>
        <w:ind w:firstLine="709"/>
        <w:rPr>
          <w:sz w:val="23"/>
          <w:szCs w:val="24"/>
        </w:rPr>
      </w:pPr>
      <w:r>
        <w:rPr>
          <w:rFonts w:hint="eastAsia"/>
          <w:sz w:val="23"/>
          <w:szCs w:val="24"/>
        </w:rPr>
        <w:t>账号：【</w:t>
      </w:r>
      <w:r>
        <w:rPr>
          <w:sz w:val="23"/>
          <w:szCs w:val="24"/>
        </w:rPr>
        <w:t>327267027658</w:t>
      </w:r>
      <w:r>
        <w:rPr>
          <w:rFonts w:hint="eastAsia"/>
          <w:sz w:val="23"/>
          <w:szCs w:val="24"/>
        </w:rPr>
        <w:t>】</w:t>
      </w:r>
    </w:p>
    <w:p w14:paraId="666F0DB9">
      <w:pPr>
        <w:pStyle w:val="32"/>
        <w:spacing w:before="240" w:beforeLines="100" w:after="240" w:afterLines="100" w:line="300" w:lineRule="auto"/>
        <w:ind w:left="709"/>
        <w:jc w:val="both"/>
        <w:outlineLvl w:val="1"/>
        <w:rPr>
          <w:sz w:val="23"/>
        </w:rPr>
      </w:pPr>
      <w:r>
        <w:rPr>
          <w:rFonts w:hint="eastAsia"/>
          <w:sz w:val="23"/>
        </w:rPr>
        <w:t>附言：恒安散热器债权项目转让价款/资金占用费</w:t>
      </w:r>
    </w:p>
    <w:p w14:paraId="16A1EED6">
      <w:pPr>
        <w:pStyle w:val="32"/>
        <w:spacing w:before="240" w:beforeLines="100" w:after="240" w:afterLines="100" w:line="300" w:lineRule="auto"/>
        <w:ind w:left="709"/>
        <w:jc w:val="both"/>
        <w:outlineLvl w:val="1"/>
        <w:rPr>
          <w:sz w:val="23"/>
        </w:rPr>
      </w:pPr>
      <w:r>
        <w:rPr>
          <w:rFonts w:hint="eastAsia"/>
          <w:sz w:val="23"/>
        </w:rPr>
        <w:t>本协议项下，乙方向甲方支付任何其他款项，均通过本指定账户。</w:t>
      </w:r>
    </w:p>
    <w:p w14:paraId="3F4173C0">
      <w:pPr>
        <w:pStyle w:val="32"/>
        <w:numPr>
          <w:ilvl w:val="1"/>
          <w:numId w:val="4"/>
        </w:numPr>
        <w:spacing w:before="240" w:beforeLines="100" w:after="240" w:afterLines="100" w:line="300" w:lineRule="auto"/>
        <w:jc w:val="both"/>
        <w:outlineLvl w:val="1"/>
        <w:rPr>
          <w:rFonts w:ascii="Times New Roman"/>
          <w:color w:val="auto"/>
          <w:kern w:val="2"/>
          <w:sz w:val="23"/>
        </w:rPr>
      </w:pPr>
      <w:r>
        <w:rPr>
          <w:rFonts w:hint="eastAsia"/>
          <w:sz w:val="23"/>
        </w:rPr>
        <w:t>资</w:t>
      </w:r>
      <w:r>
        <w:rPr>
          <w:rFonts w:hint="eastAsia" w:ascii="Times New Roman"/>
          <w:color w:val="auto"/>
          <w:kern w:val="2"/>
          <w:sz w:val="23"/>
        </w:rPr>
        <w:t>金占用费</w:t>
      </w:r>
    </w:p>
    <w:p w14:paraId="38406EA0">
      <w:pPr>
        <w:pStyle w:val="32"/>
        <w:spacing w:before="240" w:beforeLines="100" w:after="240" w:afterLines="100" w:line="300" w:lineRule="auto"/>
        <w:ind w:left="709"/>
        <w:outlineLvl w:val="1"/>
        <w:rPr>
          <w:rFonts w:ascii="Times New Roman"/>
          <w:color w:val="auto"/>
          <w:kern w:val="2"/>
          <w:sz w:val="23"/>
        </w:rPr>
      </w:pPr>
      <w:r>
        <w:rPr>
          <w:rFonts w:hint="eastAsia" w:ascii="Times New Roman"/>
          <w:color w:val="auto"/>
          <w:kern w:val="2"/>
          <w:sz w:val="23"/>
        </w:rPr>
        <w:t>在转让价款全部付清之前，乙方应向甲方支付资金占用费，资金占用费按日计算，乙方应于【每自然季度末月的21日】向甲方支付当期资金占用费。支付日为非工作日的，乙方应最迟不晚于支付日后的第一个工作日，向甲方支付当期资金占用费。如乙方已按照本协议第5.4款通过抵扣方式交纳部分或全部当期资金占用费的，乙方应于【每自然季度末月的21日】交纳等额抵扣后剩余当期资金占用费。</w:t>
      </w:r>
    </w:p>
    <w:p w14:paraId="347807EE">
      <w:pPr>
        <w:pStyle w:val="32"/>
        <w:spacing w:before="240" w:beforeLines="100" w:after="240" w:afterLines="100" w:line="300" w:lineRule="auto"/>
        <w:ind w:left="709"/>
        <w:outlineLvl w:val="1"/>
        <w:rPr>
          <w:rFonts w:ascii="Times New Roman"/>
          <w:color w:val="auto"/>
          <w:kern w:val="2"/>
          <w:sz w:val="23"/>
        </w:rPr>
      </w:pPr>
      <w:r>
        <w:rPr>
          <w:rFonts w:hint="eastAsia" w:ascii="Times New Roman"/>
          <w:color w:val="auto"/>
          <w:kern w:val="2"/>
          <w:sz w:val="23"/>
        </w:rPr>
        <w:t>当期资金占用费=转让价款延付部分余额×资金占用费日费率×实际天数</w:t>
      </w:r>
    </w:p>
    <w:p w14:paraId="69A5F26F">
      <w:pPr>
        <w:pStyle w:val="38"/>
        <w:numPr>
          <w:ilvl w:val="2"/>
          <w:numId w:val="4"/>
        </w:numPr>
        <w:spacing w:after="240" w:afterLines="100" w:line="300" w:lineRule="auto"/>
        <w:jc w:val="both"/>
        <w:rPr>
          <w:rFonts w:ascii="Times New Roman"/>
          <w:kern w:val="2"/>
          <w:sz w:val="23"/>
        </w:rPr>
      </w:pPr>
      <w:r>
        <w:rPr>
          <w:rFonts w:hint="eastAsia" w:ascii="Times New Roman"/>
          <w:kern w:val="2"/>
          <w:sz w:val="23"/>
        </w:rPr>
        <w:t>资金占用费年费率为【6.9】%，日费率=年费率/360【含甲方按照国家税法规定应缴纳的增值税】。</w:t>
      </w:r>
    </w:p>
    <w:p w14:paraId="5D8F003A">
      <w:pPr>
        <w:pStyle w:val="38"/>
        <w:numPr>
          <w:ilvl w:val="2"/>
          <w:numId w:val="4"/>
        </w:numPr>
        <w:spacing w:after="240" w:afterLines="100" w:line="300" w:lineRule="auto"/>
        <w:jc w:val="both"/>
        <w:rPr>
          <w:rFonts w:ascii="Times New Roman"/>
          <w:kern w:val="2"/>
          <w:sz w:val="23"/>
        </w:rPr>
      </w:pPr>
      <w:r>
        <w:rPr>
          <w:rFonts w:hint="eastAsia" w:ascii="Times New Roman"/>
          <w:kern w:val="2"/>
          <w:sz w:val="23"/>
        </w:rPr>
        <w:t>转让价款延付部分初始数额为【】 元（小写：【】），资金占用费应按转让价款延付部分余额分段计算，累计相加。</w:t>
      </w:r>
    </w:p>
    <w:p w14:paraId="0A55EC26">
      <w:pPr>
        <w:pStyle w:val="38"/>
        <w:numPr>
          <w:ilvl w:val="2"/>
          <w:numId w:val="4"/>
        </w:numPr>
        <w:spacing w:after="240" w:afterLines="100" w:line="300" w:lineRule="auto"/>
        <w:jc w:val="both"/>
        <w:rPr>
          <w:rFonts w:ascii="Times New Roman"/>
          <w:kern w:val="2"/>
          <w:sz w:val="23"/>
        </w:rPr>
      </w:pPr>
      <w:r>
        <w:rPr>
          <w:rFonts w:hint="eastAsia" w:ascii="Times New Roman"/>
          <w:kern w:val="2"/>
          <w:sz w:val="23"/>
        </w:rPr>
        <w:t>实际天数为该资金占用费核算期的实际天数。</w:t>
      </w:r>
    </w:p>
    <w:p w14:paraId="3233E24B">
      <w:pPr>
        <w:pStyle w:val="38"/>
        <w:numPr>
          <w:ilvl w:val="2"/>
          <w:numId w:val="4"/>
        </w:numPr>
        <w:spacing w:after="240" w:afterLines="100" w:line="300" w:lineRule="auto"/>
        <w:jc w:val="both"/>
        <w:rPr>
          <w:rFonts w:ascii="Times New Roman"/>
          <w:kern w:val="2"/>
          <w:sz w:val="23"/>
        </w:rPr>
      </w:pPr>
      <w:r>
        <w:rPr>
          <w:rFonts w:hint="eastAsia" w:ascii="Times New Roman"/>
          <w:kern w:val="2"/>
          <w:sz w:val="23"/>
        </w:rPr>
        <w:t>资金占用费费率的调整按以下第【②】种方式执行：</w:t>
      </w:r>
    </w:p>
    <w:p w14:paraId="70D9C593">
      <w:pPr>
        <w:pStyle w:val="32"/>
        <w:numPr>
          <w:ilvl w:val="0"/>
          <w:numId w:val="7"/>
        </w:numPr>
        <w:spacing w:before="240" w:beforeLines="100" w:after="240" w:afterLines="100" w:line="300" w:lineRule="auto"/>
        <w:outlineLvl w:val="1"/>
        <w:rPr>
          <w:rFonts w:ascii="Times New Roman"/>
          <w:color w:val="auto"/>
          <w:kern w:val="2"/>
          <w:sz w:val="23"/>
        </w:rPr>
      </w:pPr>
      <w:r>
        <w:rPr>
          <w:rFonts w:hint="eastAsia" w:ascii="Times New Roman"/>
          <w:color w:val="auto"/>
          <w:kern w:val="2"/>
          <w:sz w:val="23"/>
        </w:rPr>
        <w:t>按【根据项目情况填写调整周期，如“月/季度/半年/年”等】调整，于【根据项目情况填写调整日，如“每月21日/每季末月21日/每半年末月21日/每年末月21日”等】调整。在转让价款全部付清前，如果全国银行间同业拆借中心公布的【】年期贷款市场报价利率（LPR）上调，则自前述调整日起，按照调整日前最新发布的【】年期LPR的上调幅度，同比例上调资金占用年费率，资金占用年费率各次调整前后的资金占用费分段计算；如果LPR下调，资金占用年费率不作调整。</w:t>
      </w:r>
    </w:p>
    <w:p w14:paraId="01316FDC">
      <w:pPr>
        <w:pStyle w:val="32"/>
        <w:numPr>
          <w:ilvl w:val="0"/>
          <w:numId w:val="7"/>
        </w:numPr>
        <w:spacing w:before="240" w:beforeLines="100" w:after="240" w:afterLines="100" w:line="300" w:lineRule="auto"/>
        <w:outlineLvl w:val="1"/>
        <w:rPr>
          <w:rFonts w:ascii="Times New Roman"/>
          <w:color w:val="auto"/>
          <w:kern w:val="2"/>
          <w:sz w:val="23"/>
        </w:rPr>
      </w:pPr>
      <w:r>
        <w:rPr>
          <w:rFonts w:hint="eastAsia" w:ascii="Times New Roman"/>
          <w:color w:val="auto"/>
          <w:kern w:val="2"/>
          <w:sz w:val="23"/>
        </w:rPr>
        <w:t>资金占用费费率为固定费率，在转让价款全部付清前，不因LPR变动而调整变动。</w:t>
      </w:r>
    </w:p>
    <w:p w14:paraId="49A3B480">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不得扣减</w:t>
      </w:r>
    </w:p>
    <w:p w14:paraId="69CD8D93">
      <w:pPr>
        <w:pStyle w:val="32"/>
        <w:spacing w:after="240" w:afterLines="100" w:line="300" w:lineRule="auto"/>
        <w:ind w:left="709"/>
        <w:jc w:val="both"/>
        <w:outlineLvl w:val="1"/>
        <w:rPr>
          <w:rFonts w:ascii="Times New Roman"/>
          <w:color w:val="auto"/>
          <w:kern w:val="2"/>
          <w:sz w:val="23"/>
        </w:rPr>
      </w:pPr>
      <w:r>
        <w:rPr>
          <w:rFonts w:ascii="Times New Roman"/>
          <w:kern w:val="2"/>
          <w:sz w:val="23"/>
        </w:rPr>
        <w:t>除本协议明确约定外，乙方在本协议项下的所有</w:t>
      </w:r>
      <w:r>
        <w:rPr>
          <w:rFonts w:hint="eastAsia" w:ascii="Times New Roman"/>
          <w:kern w:val="2"/>
          <w:sz w:val="23"/>
        </w:rPr>
        <w:t>应付款项</w:t>
      </w:r>
      <w:r>
        <w:rPr>
          <w:rFonts w:ascii="Times New Roman"/>
          <w:kern w:val="2"/>
          <w:sz w:val="23"/>
        </w:rPr>
        <w:t>不应进行任何扣减、抵扣、或附加任何限制或条件</w:t>
      </w:r>
      <w:r>
        <w:rPr>
          <w:rFonts w:hint="eastAsia" w:ascii="Times New Roman"/>
          <w:kern w:val="2"/>
          <w:sz w:val="23"/>
        </w:rPr>
        <w:t>。</w:t>
      </w:r>
    </w:p>
    <w:p w14:paraId="56CEA903">
      <w:pPr>
        <w:pStyle w:val="32"/>
        <w:numPr>
          <w:ilvl w:val="0"/>
          <w:numId w:val="4"/>
        </w:numPr>
        <w:spacing w:after="240" w:afterLines="100" w:line="300" w:lineRule="auto"/>
        <w:jc w:val="both"/>
        <w:outlineLvl w:val="0"/>
        <w:rPr>
          <w:rFonts w:ascii="Times New Roman"/>
          <w:b/>
          <w:bCs/>
          <w:color w:val="auto"/>
          <w:kern w:val="2"/>
          <w:sz w:val="23"/>
          <w:szCs w:val="28"/>
        </w:rPr>
      </w:pPr>
      <w:bookmarkStart w:id="18" w:name="_Toc240895600"/>
      <w:r>
        <w:rPr>
          <w:rFonts w:hint="eastAsia" w:ascii="Times New Roman"/>
          <w:b/>
          <w:bCs/>
          <w:kern w:val="2"/>
          <w:sz w:val="23"/>
          <w:szCs w:val="28"/>
        </w:rPr>
        <w:t>过渡期安排</w:t>
      </w:r>
      <w:bookmarkEnd w:id="18"/>
      <w:bookmarkStart w:id="19" w:name="_Ref468045378"/>
      <w:bookmarkStart w:id="20" w:name="_Ref468309028"/>
      <w:bookmarkStart w:id="21" w:name="_Toc467844813"/>
      <w:bookmarkStart w:id="22" w:name="_Toc499799442"/>
      <w:bookmarkStart w:id="23" w:name="_Toc467844814"/>
    </w:p>
    <w:p w14:paraId="344077A5">
      <w:pPr>
        <w:numPr>
          <w:ilvl w:val="1"/>
          <w:numId w:val="4"/>
        </w:numPr>
        <w:spacing w:line="360" w:lineRule="auto"/>
        <w:ind w:left="777" w:hanging="777" w:hangingChars="338"/>
        <w:rPr>
          <w:color w:val="000000"/>
          <w:sz w:val="23"/>
          <w:szCs w:val="24"/>
        </w:rPr>
      </w:pPr>
      <w:r>
        <w:rPr>
          <w:rFonts w:hint="eastAsia"/>
          <w:color w:val="000000"/>
          <w:sz w:val="23"/>
          <w:szCs w:val="24"/>
        </w:rPr>
        <w:t>自本协议生效之日起至交割日（含该日），双方确认按照以下第【（2）】种方式对</w:t>
      </w:r>
    </w:p>
    <w:p w14:paraId="68DF5552">
      <w:pPr>
        <w:spacing w:line="360" w:lineRule="auto"/>
        <w:ind w:firstLine="0"/>
        <w:rPr>
          <w:color w:val="000000"/>
          <w:sz w:val="23"/>
          <w:szCs w:val="24"/>
        </w:rPr>
      </w:pPr>
      <w:r>
        <w:rPr>
          <w:rFonts w:hint="eastAsia"/>
          <w:color w:val="000000"/>
          <w:sz w:val="23"/>
          <w:szCs w:val="24"/>
        </w:rPr>
        <w:t>标的资产进行管理：</w:t>
      </w:r>
    </w:p>
    <w:p w14:paraId="62088D52">
      <w:pPr>
        <w:pStyle w:val="32"/>
        <w:spacing w:after="120" w:afterLines="50" w:line="300" w:lineRule="auto"/>
        <w:ind w:left="1153" w:leftChars="330" w:hanging="460" w:hangingChars="200"/>
        <w:jc w:val="both"/>
        <w:rPr>
          <w:rFonts w:ascii="Times New Roman"/>
          <w:bCs/>
          <w:color w:val="auto"/>
          <w:kern w:val="2"/>
          <w:sz w:val="23"/>
        </w:rPr>
      </w:pPr>
      <w:r>
        <w:rPr>
          <w:rFonts w:hint="eastAsia" w:ascii="Times New Roman"/>
          <w:bCs/>
          <w:color w:val="auto"/>
          <w:kern w:val="2"/>
          <w:sz w:val="23"/>
        </w:rPr>
        <w:t>（1）甲方对标的资产【按照本协议生效前甲方对标的资产的管理方式】进行管理和</w:t>
      </w:r>
      <w:r>
        <w:rPr>
          <w:rFonts w:ascii="Times New Roman"/>
          <w:bCs/>
          <w:color w:val="auto"/>
          <w:kern w:val="2"/>
          <w:sz w:val="23"/>
        </w:rPr>
        <w:t>维护。</w:t>
      </w:r>
      <w:r>
        <w:rPr>
          <w:rFonts w:hint="eastAsia" w:ascii="Times New Roman"/>
          <w:bCs/>
          <w:color w:val="auto"/>
          <w:kern w:val="2"/>
          <w:sz w:val="23"/>
        </w:rPr>
        <w:t>乙方如需请求甲方对标的资产作出任何处置或</w:t>
      </w:r>
      <w:r>
        <w:rPr>
          <w:rFonts w:ascii="Times New Roman"/>
          <w:bCs/>
          <w:color w:val="auto"/>
          <w:kern w:val="2"/>
          <w:sz w:val="23"/>
        </w:rPr>
        <w:t>提供任何服务</w:t>
      </w:r>
      <w:r>
        <w:rPr>
          <w:rFonts w:hint="eastAsia" w:ascii="Times New Roman"/>
          <w:bCs/>
          <w:color w:val="auto"/>
          <w:kern w:val="2"/>
          <w:sz w:val="23"/>
        </w:rPr>
        <w:t>，</w:t>
      </w:r>
      <w:r>
        <w:rPr>
          <w:rFonts w:ascii="Times New Roman"/>
          <w:bCs/>
          <w:color w:val="auto"/>
          <w:kern w:val="2"/>
          <w:sz w:val="23"/>
        </w:rPr>
        <w:t>需向甲方</w:t>
      </w:r>
      <w:r>
        <w:rPr>
          <w:rFonts w:hint="eastAsia" w:ascii="Times New Roman"/>
          <w:bCs/>
          <w:color w:val="auto"/>
          <w:kern w:val="2"/>
          <w:sz w:val="23"/>
        </w:rPr>
        <w:t>发出</w:t>
      </w:r>
      <w:r>
        <w:rPr>
          <w:rFonts w:ascii="Times New Roman"/>
          <w:bCs/>
          <w:color w:val="auto"/>
          <w:kern w:val="2"/>
          <w:sz w:val="23"/>
        </w:rPr>
        <w:t>明确的书面指示</w:t>
      </w:r>
      <w:r>
        <w:rPr>
          <w:rFonts w:hint="eastAsia" w:ascii="Times New Roman"/>
          <w:bCs/>
          <w:color w:val="auto"/>
          <w:kern w:val="2"/>
          <w:sz w:val="23"/>
        </w:rPr>
        <w:t>。甲方有权独立决定是否执行乙方指示，甲方决定执行乙方指示的可以依本协议约定向乙方收取过渡期服务费。如甲方按照</w:t>
      </w:r>
      <w:r>
        <w:rPr>
          <w:rFonts w:ascii="Times New Roman"/>
          <w:bCs/>
          <w:color w:val="auto"/>
          <w:kern w:val="2"/>
          <w:sz w:val="23"/>
        </w:rPr>
        <w:t>乙方的指示</w:t>
      </w:r>
      <w:r>
        <w:rPr>
          <w:rFonts w:hint="eastAsia" w:ascii="Times New Roman"/>
          <w:bCs/>
          <w:color w:val="auto"/>
          <w:kern w:val="2"/>
          <w:sz w:val="23"/>
        </w:rPr>
        <w:t>或确认</w:t>
      </w:r>
      <w:r>
        <w:rPr>
          <w:rFonts w:ascii="Times New Roman"/>
          <w:bCs/>
          <w:color w:val="auto"/>
          <w:kern w:val="2"/>
          <w:sz w:val="23"/>
        </w:rPr>
        <w:t>提供服务或处置资产后</w:t>
      </w:r>
      <w:r>
        <w:rPr>
          <w:rFonts w:hint="eastAsia" w:ascii="Times New Roman"/>
          <w:bCs/>
          <w:color w:val="auto"/>
          <w:kern w:val="2"/>
          <w:sz w:val="23"/>
        </w:rPr>
        <w:t>【非因甲方原因】</w:t>
      </w:r>
      <w:r>
        <w:rPr>
          <w:rFonts w:ascii="Times New Roman"/>
          <w:bCs/>
          <w:color w:val="auto"/>
          <w:kern w:val="2"/>
          <w:sz w:val="23"/>
        </w:rPr>
        <w:t>标的资产最终未完成交割的，乙方需对</w:t>
      </w:r>
      <w:r>
        <w:rPr>
          <w:rFonts w:hint="eastAsia" w:ascii="Times New Roman"/>
          <w:bCs/>
          <w:color w:val="auto"/>
          <w:kern w:val="2"/>
          <w:sz w:val="23"/>
        </w:rPr>
        <w:t>甲方因此遭受的</w:t>
      </w:r>
      <w:r>
        <w:rPr>
          <w:rFonts w:ascii="Times New Roman"/>
          <w:bCs/>
          <w:color w:val="auto"/>
          <w:kern w:val="2"/>
          <w:sz w:val="23"/>
        </w:rPr>
        <w:t>损失承担赔偿责任。</w:t>
      </w:r>
      <w:r>
        <w:rPr>
          <w:rFonts w:hint="eastAsia" w:ascii="Times New Roman"/>
          <w:bCs/>
          <w:color w:val="auto"/>
          <w:kern w:val="2"/>
          <w:sz w:val="23"/>
        </w:rPr>
        <w:t>无论甲方是否</w:t>
      </w:r>
      <w:r>
        <w:rPr>
          <w:rFonts w:ascii="Times New Roman"/>
          <w:bCs/>
          <w:color w:val="auto"/>
          <w:kern w:val="2"/>
          <w:sz w:val="23"/>
        </w:rPr>
        <w:t>选择执行乙方指示</w:t>
      </w:r>
      <w:r>
        <w:rPr>
          <w:rFonts w:hint="eastAsia" w:ascii="Times New Roman"/>
          <w:bCs/>
          <w:color w:val="auto"/>
          <w:kern w:val="2"/>
          <w:sz w:val="23"/>
        </w:rPr>
        <w:t>均不对</w:t>
      </w:r>
      <w:r>
        <w:rPr>
          <w:rFonts w:ascii="Times New Roman"/>
          <w:bCs/>
          <w:color w:val="auto"/>
          <w:kern w:val="2"/>
          <w:sz w:val="23"/>
        </w:rPr>
        <w:t>造成</w:t>
      </w:r>
      <w:r>
        <w:rPr>
          <w:rFonts w:hint="eastAsia" w:ascii="Times New Roman"/>
          <w:bCs/>
          <w:color w:val="auto"/>
          <w:kern w:val="2"/>
          <w:sz w:val="23"/>
        </w:rPr>
        <w:t>或</w:t>
      </w:r>
      <w:r>
        <w:rPr>
          <w:rFonts w:ascii="Times New Roman"/>
          <w:bCs/>
          <w:color w:val="auto"/>
          <w:kern w:val="2"/>
          <w:sz w:val="23"/>
        </w:rPr>
        <w:t>可能造成的后果承担责任。</w:t>
      </w:r>
      <w:r>
        <w:rPr>
          <w:rFonts w:hint="eastAsia" w:ascii="Times New Roman"/>
          <w:bCs/>
          <w:color w:val="auto"/>
          <w:kern w:val="2"/>
          <w:sz w:val="23"/>
        </w:rPr>
        <w:t>对</w:t>
      </w:r>
      <w:r>
        <w:rPr>
          <w:rFonts w:ascii="Times New Roman"/>
          <w:bCs/>
          <w:color w:val="auto"/>
          <w:kern w:val="2"/>
          <w:sz w:val="23"/>
        </w:rPr>
        <w:t>过渡期内出现的</w:t>
      </w:r>
      <w:r>
        <w:rPr>
          <w:rFonts w:hint="eastAsia" w:ascii="Times New Roman"/>
          <w:bCs/>
          <w:color w:val="auto"/>
          <w:kern w:val="2"/>
          <w:sz w:val="23"/>
        </w:rPr>
        <w:t>对</w:t>
      </w:r>
      <w:r>
        <w:rPr>
          <w:rFonts w:ascii="Times New Roman"/>
          <w:bCs/>
          <w:color w:val="auto"/>
          <w:kern w:val="2"/>
          <w:sz w:val="23"/>
        </w:rPr>
        <w:t>标的资产</w:t>
      </w:r>
      <w:r>
        <w:rPr>
          <w:rFonts w:hint="eastAsia" w:ascii="Times New Roman"/>
          <w:bCs/>
          <w:color w:val="auto"/>
          <w:kern w:val="2"/>
          <w:sz w:val="23"/>
        </w:rPr>
        <w:t>产生</w:t>
      </w:r>
      <w:r>
        <w:rPr>
          <w:rFonts w:ascii="Times New Roman"/>
          <w:bCs/>
          <w:color w:val="auto"/>
          <w:kern w:val="2"/>
          <w:sz w:val="23"/>
        </w:rPr>
        <w:t>严重不利影响的事件和行为，</w:t>
      </w:r>
      <w:r>
        <w:rPr>
          <w:rFonts w:hint="eastAsia" w:ascii="Times New Roman"/>
          <w:bCs/>
          <w:color w:val="auto"/>
          <w:kern w:val="2"/>
          <w:sz w:val="23"/>
        </w:rPr>
        <w:t>甲方在知悉后将通知乙方，但</w:t>
      </w:r>
      <w:r>
        <w:rPr>
          <w:rFonts w:ascii="Times New Roman"/>
          <w:bCs/>
          <w:color w:val="auto"/>
          <w:kern w:val="2"/>
          <w:sz w:val="23"/>
        </w:rPr>
        <w:t>对</w:t>
      </w:r>
      <w:r>
        <w:rPr>
          <w:rFonts w:hint="eastAsia" w:ascii="Times New Roman"/>
          <w:bCs/>
          <w:color w:val="auto"/>
          <w:kern w:val="2"/>
          <w:sz w:val="23"/>
        </w:rPr>
        <w:t>相关</w:t>
      </w:r>
      <w:r>
        <w:rPr>
          <w:rFonts w:ascii="Times New Roman"/>
          <w:bCs/>
          <w:color w:val="auto"/>
          <w:kern w:val="2"/>
          <w:sz w:val="23"/>
        </w:rPr>
        <w:t>不</w:t>
      </w:r>
      <w:r>
        <w:rPr>
          <w:rFonts w:hint="eastAsia" w:ascii="Times New Roman"/>
          <w:bCs/>
          <w:color w:val="auto"/>
          <w:kern w:val="2"/>
          <w:sz w:val="23"/>
        </w:rPr>
        <w:t>利</w:t>
      </w:r>
      <w:r>
        <w:rPr>
          <w:rFonts w:ascii="Times New Roman"/>
          <w:bCs/>
          <w:color w:val="auto"/>
          <w:kern w:val="2"/>
          <w:sz w:val="23"/>
        </w:rPr>
        <w:t>后果不承担任何责任，乙方不得因此向甲方主张任何权利或请求赔偿损失。</w:t>
      </w:r>
    </w:p>
    <w:p w14:paraId="0A12465A">
      <w:pPr>
        <w:pStyle w:val="32"/>
        <w:spacing w:after="120" w:afterLines="50" w:line="300" w:lineRule="auto"/>
        <w:ind w:left="1153" w:leftChars="330" w:hanging="460" w:hangingChars="200"/>
        <w:jc w:val="both"/>
        <w:rPr>
          <w:rFonts w:ascii="Times New Roman"/>
          <w:color w:val="auto"/>
          <w:kern w:val="2"/>
          <w:sz w:val="23"/>
        </w:rPr>
      </w:pPr>
      <w:r>
        <w:rPr>
          <w:rFonts w:hint="eastAsia" w:ascii="Times New Roman"/>
          <w:bCs/>
          <w:color w:val="auto"/>
          <w:kern w:val="2"/>
          <w:sz w:val="23"/>
        </w:rPr>
        <w:t>（2）甲方委托乙方【以甲方名义】对标的资产进行管理和维护，乙方负责依法合规对标的资产进行日常管理与维护，但乙方不享有标的资产的处置权且乙方应确保现金处置收入均进入甲方指定的甲方账户（户名：【中国东方资产管理股份有限公司山东省分公司】，开户银行：【中国银行北京金融中心支行】，账号：【</w:t>
      </w:r>
      <w:r>
        <w:rPr>
          <w:rFonts w:ascii="Times New Roman"/>
          <w:bCs/>
          <w:color w:val="auto"/>
          <w:kern w:val="2"/>
          <w:sz w:val="23"/>
        </w:rPr>
        <w:t>327267027658</w:t>
      </w:r>
      <w:r>
        <w:rPr>
          <w:rFonts w:hint="eastAsia" w:ascii="Times New Roman"/>
          <w:bCs/>
          <w:color w:val="auto"/>
          <w:kern w:val="2"/>
          <w:sz w:val="23"/>
        </w:rPr>
        <w:t>】）并按照甲方指示交付非现金处置收入。乙方如需对标的资产作出任何处置，应提前【二十】个工作日向甲方书面报告处置方案及拟签署的相关协议文本，经甲方审核批准后方可实施。乙方确认接受前述委托不收取任何费用，承诺并确认对处置方案造成或可能造成的后果承担全部责任。对过渡期内出现的对标的资产产生严重不利影响的事件和行为，乙方应在知悉之日起【五】个工作日内通知甲方。</w:t>
      </w:r>
    </w:p>
    <w:p w14:paraId="5B69A596">
      <w:pPr>
        <w:pStyle w:val="32"/>
        <w:spacing w:after="120" w:afterLines="50" w:line="300" w:lineRule="auto"/>
        <w:ind w:left="1155" w:leftChars="550"/>
        <w:jc w:val="both"/>
        <w:rPr>
          <w:rFonts w:ascii="Times New Roman"/>
          <w:bCs/>
          <w:color w:val="auto"/>
          <w:kern w:val="2"/>
          <w:sz w:val="23"/>
        </w:rPr>
      </w:pPr>
      <w:r>
        <w:rPr>
          <w:rFonts w:hint="eastAsia" w:ascii="Times New Roman"/>
          <w:bCs/>
          <w:color w:val="auto"/>
          <w:kern w:val="2"/>
          <w:sz w:val="23"/>
        </w:rPr>
        <w:t>无论甲方是否委托乙方对标的资产进行管理，乙方均承诺将按甲方指示对标的资产的管理与处置予以配合，包括但不限于按照甲方通知的要求对过渡期间资产处置的方案及协议文件进行书面确认、按照甲方要求的时间和格式与处置过程中部分或全部标的资产的第三方受让人签署三方《资产转让协议》等。</w:t>
      </w:r>
    </w:p>
    <w:p w14:paraId="592455DF">
      <w:pPr>
        <w:pStyle w:val="32"/>
        <w:numPr>
          <w:ilvl w:val="1"/>
          <w:numId w:val="4"/>
        </w:numPr>
        <w:spacing w:after="240" w:afterLines="100" w:line="300" w:lineRule="auto"/>
        <w:jc w:val="both"/>
        <w:outlineLvl w:val="1"/>
        <w:rPr>
          <w:rFonts w:ascii="Times New Roman"/>
          <w:bCs/>
          <w:color w:val="auto"/>
          <w:kern w:val="2"/>
          <w:sz w:val="23"/>
        </w:rPr>
      </w:pPr>
      <w:r>
        <w:rPr>
          <w:rFonts w:hint="eastAsia" w:ascii="Times New Roman"/>
          <w:bCs/>
          <w:color w:val="auto"/>
          <w:kern w:val="2"/>
          <w:sz w:val="23"/>
        </w:rPr>
        <w:t>过渡期</w:t>
      </w:r>
      <w:r>
        <w:rPr>
          <w:rFonts w:ascii="Times New Roman"/>
          <w:bCs/>
          <w:color w:val="auto"/>
          <w:kern w:val="2"/>
          <w:sz w:val="23"/>
        </w:rPr>
        <w:t>服务费</w:t>
      </w:r>
    </w:p>
    <w:p w14:paraId="630BC83F">
      <w:pPr>
        <w:pStyle w:val="32"/>
        <w:spacing w:after="240" w:afterLines="100" w:line="300" w:lineRule="auto"/>
        <w:ind w:left="709"/>
        <w:jc w:val="both"/>
        <w:outlineLvl w:val="1"/>
        <w:rPr>
          <w:rFonts w:ascii="Times New Roman"/>
          <w:bCs/>
          <w:color w:val="auto"/>
          <w:kern w:val="2"/>
          <w:sz w:val="23"/>
        </w:rPr>
      </w:pPr>
      <w:r>
        <w:rPr>
          <w:rFonts w:hint="eastAsia" w:ascii="Times New Roman"/>
          <w:bCs/>
          <w:color w:val="auto"/>
          <w:kern w:val="2"/>
          <w:sz w:val="23"/>
        </w:rPr>
        <w:t>双方确认，按照以下第【（1）】种方式收取过渡期服务费【第5.1选择甲方管理模式时可选】</w:t>
      </w:r>
    </w:p>
    <w:p w14:paraId="0C6AF971">
      <w:pPr>
        <w:pStyle w:val="32"/>
        <w:spacing w:after="240" w:afterLines="100" w:line="300" w:lineRule="auto"/>
        <w:ind w:left="709"/>
        <w:jc w:val="both"/>
        <w:outlineLvl w:val="1"/>
        <w:rPr>
          <w:rFonts w:ascii="Times New Roman"/>
          <w:bCs/>
          <w:color w:val="auto"/>
          <w:kern w:val="2"/>
          <w:sz w:val="23"/>
        </w:rPr>
      </w:pPr>
      <w:r>
        <w:rPr>
          <w:rFonts w:hint="eastAsia" w:ascii="Times New Roman"/>
          <w:bCs/>
          <w:color w:val="auto"/>
          <w:kern w:val="2"/>
          <w:sz w:val="23"/>
        </w:rPr>
        <w:t>（1）甲方在过渡期内不收取服务费。</w:t>
      </w:r>
    </w:p>
    <w:p w14:paraId="5DD964BF">
      <w:pPr>
        <w:pStyle w:val="32"/>
        <w:spacing w:after="240" w:afterLines="100" w:line="300" w:lineRule="auto"/>
        <w:ind w:firstLine="690" w:firstLineChars="300"/>
        <w:jc w:val="both"/>
        <w:outlineLvl w:val="1"/>
        <w:rPr>
          <w:rFonts w:ascii="Times New Roman"/>
          <w:bCs/>
          <w:color w:val="auto"/>
          <w:kern w:val="2"/>
          <w:sz w:val="23"/>
        </w:rPr>
      </w:pPr>
      <w:r>
        <w:rPr>
          <w:rFonts w:hint="eastAsia" w:ascii="Times New Roman"/>
          <w:bCs/>
          <w:color w:val="auto"/>
          <w:kern w:val="2"/>
          <w:sz w:val="23"/>
        </w:rPr>
        <w:t>（2）</w:t>
      </w:r>
      <w:r>
        <w:rPr>
          <w:rFonts w:ascii="Times New Roman"/>
          <w:bCs/>
          <w:color w:val="auto"/>
          <w:kern w:val="2"/>
          <w:sz w:val="23"/>
        </w:rPr>
        <w:t>甲方在过渡期内收取服务费。</w:t>
      </w:r>
      <w:r>
        <w:rPr>
          <w:rFonts w:hint="eastAsia" w:ascii="Times New Roman"/>
          <w:bCs/>
          <w:color w:val="auto"/>
          <w:kern w:val="2"/>
          <w:sz w:val="23"/>
        </w:rPr>
        <w:t>则：</w:t>
      </w:r>
    </w:p>
    <w:p w14:paraId="6DC57CC5">
      <w:pPr>
        <w:pStyle w:val="32"/>
        <w:spacing w:after="240" w:afterLines="100" w:line="300" w:lineRule="auto"/>
        <w:ind w:left="709"/>
        <w:jc w:val="both"/>
        <w:outlineLvl w:val="1"/>
        <w:rPr>
          <w:rFonts w:ascii="Times New Roman"/>
          <w:bCs/>
          <w:color w:val="auto"/>
          <w:kern w:val="2"/>
          <w:sz w:val="23"/>
        </w:rPr>
      </w:pPr>
      <w:r>
        <w:rPr>
          <w:rFonts w:ascii="Times New Roman"/>
          <w:bCs/>
          <w:color w:val="auto"/>
          <w:kern w:val="2"/>
          <w:sz w:val="23"/>
        </w:rPr>
        <w:t>过渡期服务费</w:t>
      </w:r>
      <w:r>
        <w:rPr>
          <w:rFonts w:hint="eastAsia" w:ascii="Times New Roman"/>
          <w:bCs/>
          <w:color w:val="auto"/>
          <w:kern w:val="2"/>
          <w:sz w:val="23"/>
        </w:rPr>
        <w:t>及支付方式如下：【】</w:t>
      </w:r>
    </w:p>
    <w:p w14:paraId="4DA042D1">
      <w:pPr>
        <w:pStyle w:val="32"/>
        <w:spacing w:after="240" w:afterLines="100" w:line="300" w:lineRule="auto"/>
        <w:ind w:left="709"/>
        <w:jc w:val="both"/>
        <w:outlineLvl w:val="1"/>
        <w:rPr>
          <w:rFonts w:ascii="Times New Roman"/>
          <w:bCs/>
          <w:color w:val="auto"/>
          <w:kern w:val="2"/>
          <w:sz w:val="23"/>
        </w:rPr>
      </w:pPr>
      <w:r>
        <w:rPr>
          <w:rFonts w:hint="eastAsia" w:ascii="Times New Roman"/>
          <w:bCs/>
          <w:color w:val="auto"/>
          <w:kern w:val="2"/>
          <w:sz w:val="23"/>
        </w:rPr>
        <w:t>【根据方案和批复勾选是否收取过渡期服务费，如收取，根据实际情况对过渡期服务费安排进行约定】</w:t>
      </w:r>
    </w:p>
    <w:p w14:paraId="069695BD">
      <w:pPr>
        <w:pStyle w:val="32"/>
        <w:numPr>
          <w:ilvl w:val="1"/>
          <w:numId w:val="4"/>
        </w:numPr>
        <w:spacing w:after="240" w:afterLines="100" w:line="300" w:lineRule="auto"/>
        <w:jc w:val="both"/>
        <w:outlineLvl w:val="1"/>
        <w:rPr>
          <w:rFonts w:ascii="Times New Roman"/>
          <w:bCs/>
          <w:color w:val="auto"/>
          <w:kern w:val="2"/>
          <w:sz w:val="23"/>
        </w:rPr>
      </w:pPr>
      <w:r>
        <w:rPr>
          <w:rFonts w:hint="eastAsia" w:ascii="Times New Roman"/>
          <w:bCs/>
          <w:color w:val="auto"/>
          <w:kern w:val="2"/>
          <w:sz w:val="23"/>
        </w:rPr>
        <w:t>过渡期间标的资产的管理及处置依照本协议第5.1款的约定执行。甲方</w:t>
      </w:r>
      <w:r>
        <w:rPr>
          <w:rFonts w:ascii="Times New Roman"/>
          <w:bCs/>
          <w:color w:val="auto"/>
          <w:kern w:val="2"/>
          <w:sz w:val="23"/>
        </w:rPr>
        <w:t>对</w:t>
      </w:r>
      <w:r>
        <w:rPr>
          <w:rFonts w:hint="eastAsia" w:ascii="Times New Roman"/>
          <w:bCs/>
          <w:color w:val="auto"/>
          <w:kern w:val="2"/>
          <w:sz w:val="23"/>
        </w:rPr>
        <w:t>过渡期内标的资产的处置后果</w:t>
      </w:r>
      <w:r>
        <w:rPr>
          <w:rFonts w:ascii="Times New Roman"/>
          <w:bCs/>
          <w:color w:val="auto"/>
          <w:kern w:val="2"/>
          <w:sz w:val="23"/>
        </w:rPr>
        <w:t>不承担任何责任</w:t>
      </w:r>
      <w:r>
        <w:rPr>
          <w:rFonts w:hint="eastAsia" w:ascii="Times New Roman"/>
          <w:bCs/>
          <w:color w:val="auto"/>
          <w:kern w:val="2"/>
          <w:sz w:val="23"/>
        </w:rPr>
        <w:t>，包括但不限于甲方不对因标的资产过渡期管理</w:t>
      </w:r>
      <w:r>
        <w:rPr>
          <w:rFonts w:ascii="Times New Roman"/>
          <w:bCs/>
          <w:color w:val="auto"/>
          <w:kern w:val="2"/>
          <w:sz w:val="23"/>
        </w:rPr>
        <w:t>而采取的行动或不作为所导致的任何对声明和保证的违反</w:t>
      </w:r>
      <w:r>
        <w:rPr>
          <w:rFonts w:hint="eastAsia" w:ascii="Times New Roman"/>
          <w:bCs/>
          <w:color w:val="auto"/>
          <w:kern w:val="2"/>
          <w:sz w:val="23"/>
        </w:rPr>
        <w:t>及因此对标的资产或乙方产生的不利影响承担任何责任等。乙方确认知悉并承担交割时标的资产及资产文件因此相应变更或减损等全部后果及责任，将按交割时标的资产实际状况接收标的资产（包括全面承继过渡期间未处置完毕的标的资产及由其转化的权益、义务、责任等）并放弃对甲方的一切抗辩权及追索权</w:t>
      </w:r>
      <w:r>
        <w:rPr>
          <w:rFonts w:ascii="Times New Roman"/>
          <w:bCs/>
          <w:color w:val="auto"/>
          <w:kern w:val="2"/>
          <w:sz w:val="23"/>
        </w:rPr>
        <w:t>。</w:t>
      </w:r>
    </w:p>
    <w:p w14:paraId="73D7B206">
      <w:pPr>
        <w:numPr>
          <w:ilvl w:val="1"/>
          <w:numId w:val="4"/>
        </w:numPr>
        <w:autoSpaceDE w:val="0"/>
        <w:autoSpaceDN w:val="0"/>
        <w:adjustRightInd w:val="0"/>
        <w:spacing w:after="240" w:afterLines="100" w:line="300" w:lineRule="auto"/>
        <w:outlineLvl w:val="1"/>
        <w:rPr>
          <w:bCs/>
          <w:sz w:val="23"/>
          <w:szCs w:val="24"/>
        </w:rPr>
      </w:pPr>
      <w:r>
        <w:rPr>
          <w:rFonts w:hint="eastAsia"/>
          <w:bCs/>
          <w:sz w:val="23"/>
          <w:szCs w:val="24"/>
        </w:rPr>
        <w:t>过渡期内处置费用的支付及处置收入</w:t>
      </w:r>
      <w:r>
        <w:rPr>
          <w:bCs/>
          <w:sz w:val="23"/>
          <w:szCs w:val="24"/>
        </w:rPr>
        <w:t>的移交</w:t>
      </w:r>
    </w:p>
    <w:p w14:paraId="54EB9CEE">
      <w:pPr>
        <w:numPr>
          <w:ilvl w:val="2"/>
          <w:numId w:val="8"/>
        </w:numPr>
        <w:tabs>
          <w:tab w:val="left" w:pos="851"/>
        </w:tabs>
        <w:autoSpaceDE w:val="0"/>
        <w:autoSpaceDN w:val="0"/>
        <w:adjustRightInd w:val="0"/>
        <w:spacing w:after="240" w:afterLines="100" w:line="300" w:lineRule="auto"/>
        <w:rPr>
          <w:bCs/>
          <w:sz w:val="23"/>
          <w:szCs w:val="24"/>
        </w:rPr>
      </w:pPr>
      <w:r>
        <w:rPr>
          <w:rFonts w:hint="eastAsia"/>
          <w:bCs/>
          <w:sz w:val="23"/>
          <w:szCs w:val="24"/>
        </w:rPr>
        <w:t>过渡期内的现金处置收入归属于乙方。</w:t>
      </w:r>
    </w:p>
    <w:p w14:paraId="2D655D19">
      <w:pPr>
        <w:numPr>
          <w:ilvl w:val="2"/>
          <w:numId w:val="8"/>
        </w:numPr>
        <w:tabs>
          <w:tab w:val="left" w:pos="851"/>
        </w:tabs>
        <w:autoSpaceDE w:val="0"/>
        <w:autoSpaceDN w:val="0"/>
        <w:adjustRightInd w:val="0"/>
        <w:spacing w:after="240" w:afterLines="100" w:line="300" w:lineRule="auto"/>
        <w:rPr>
          <w:bCs/>
          <w:sz w:val="23"/>
          <w:szCs w:val="24"/>
        </w:rPr>
      </w:pPr>
      <w:r>
        <w:rPr>
          <w:rFonts w:hint="eastAsia"/>
          <w:bCs/>
          <w:sz w:val="23"/>
          <w:szCs w:val="24"/>
        </w:rPr>
        <w:t>如过渡期内发生处置费用，乙方应在收到甲方支付通知之日起【五】个工作日内足额支付处置费用。</w:t>
      </w:r>
    </w:p>
    <w:p w14:paraId="53B9E60D">
      <w:pPr>
        <w:numPr>
          <w:ilvl w:val="2"/>
          <w:numId w:val="8"/>
        </w:numPr>
        <w:tabs>
          <w:tab w:val="left" w:pos="851"/>
        </w:tabs>
        <w:autoSpaceDE w:val="0"/>
        <w:autoSpaceDN w:val="0"/>
        <w:adjustRightInd w:val="0"/>
        <w:spacing w:after="240" w:afterLines="100" w:line="300" w:lineRule="auto"/>
        <w:rPr>
          <w:bCs/>
          <w:sz w:val="23"/>
          <w:szCs w:val="24"/>
        </w:rPr>
      </w:pPr>
      <w:r>
        <w:rPr>
          <w:rFonts w:hint="eastAsia"/>
          <w:bCs/>
          <w:sz w:val="23"/>
          <w:szCs w:val="24"/>
        </w:rPr>
        <w:t>如过渡期内存在现金处置收入，双方同意将该现金处置收入于【甲方收到该处置收入当日】与乙方应向甲方支付的款项进行抵销。具体为：乙方未发生违约情形时，</w:t>
      </w:r>
      <w:r>
        <w:rPr>
          <w:bCs/>
          <w:sz w:val="23"/>
          <w:szCs w:val="24"/>
        </w:rPr>
        <w:t>该现金处置收入</w:t>
      </w:r>
      <w:r>
        <w:rPr>
          <w:rFonts w:hint="eastAsia"/>
          <w:bCs/>
          <w:sz w:val="23"/>
          <w:szCs w:val="24"/>
        </w:rPr>
        <w:t>先行等额抵扣乙方应付的服务费（如有）、处置费用及除资金占用费外的其他乙方承担费用、再等额抵扣资金占用费，再就现金处置收入的剩余部分等额抵扣转让价款延付部分；前述抵扣完成之日，即视为甲方已向乙方移交完毕该部分现金处置收入，乙方已交纳等额于已抵扣金额的乙方承担费用且已支付等额于已抵扣金额的转让价款延付部分（如发生抵扣）。乙方发生违约情形但协议未解除时，甲方有权单方决定抵扣顺序。乙方发生违约情形且协议解除时，过渡期间处置收入自始归属于甲方。</w:t>
      </w:r>
    </w:p>
    <w:p w14:paraId="10C5FD45">
      <w:pPr>
        <w:tabs>
          <w:tab w:val="left" w:pos="851"/>
        </w:tabs>
        <w:autoSpaceDE w:val="0"/>
        <w:autoSpaceDN w:val="0"/>
        <w:adjustRightInd w:val="0"/>
        <w:spacing w:after="240" w:afterLines="100" w:line="300" w:lineRule="auto"/>
        <w:ind w:left="1418"/>
        <w:rPr>
          <w:bCs/>
          <w:sz w:val="23"/>
          <w:szCs w:val="24"/>
        </w:rPr>
      </w:pPr>
      <w:r>
        <w:rPr>
          <w:rFonts w:hint="eastAsia"/>
          <w:bCs/>
          <w:sz w:val="23"/>
          <w:szCs w:val="24"/>
        </w:rPr>
        <w:t>现金处置收入</w:t>
      </w:r>
      <w:r>
        <w:rPr>
          <w:bCs/>
          <w:sz w:val="23"/>
          <w:szCs w:val="24"/>
        </w:rPr>
        <w:t>不足</w:t>
      </w:r>
      <w:r>
        <w:rPr>
          <w:rFonts w:hint="eastAsia"/>
          <w:bCs/>
          <w:sz w:val="23"/>
          <w:szCs w:val="24"/>
        </w:rPr>
        <w:t>抵扣</w:t>
      </w:r>
      <w:r>
        <w:rPr>
          <w:bCs/>
          <w:sz w:val="23"/>
          <w:szCs w:val="24"/>
        </w:rPr>
        <w:t>乙方承担费用</w:t>
      </w:r>
      <w:r>
        <w:rPr>
          <w:rFonts w:hint="eastAsia"/>
          <w:bCs/>
          <w:sz w:val="23"/>
          <w:szCs w:val="24"/>
        </w:rPr>
        <w:t>及应付转让价款</w:t>
      </w:r>
      <w:r>
        <w:rPr>
          <w:bCs/>
          <w:sz w:val="23"/>
          <w:szCs w:val="24"/>
        </w:rPr>
        <w:t>的</w:t>
      </w:r>
      <w:r>
        <w:rPr>
          <w:rFonts w:hint="eastAsia"/>
          <w:bCs/>
          <w:sz w:val="23"/>
          <w:szCs w:val="24"/>
        </w:rPr>
        <w:t>，乙方应按本协议约定支付前述不足部分的款项</w:t>
      </w:r>
      <w:r>
        <w:rPr>
          <w:bCs/>
          <w:sz w:val="23"/>
          <w:szCs w:val="24"/>
        </w:rPr>
        <w:t>。</w:t>
      </w:r>
    </w:p>
    <w:p w14:paraId="307B59F2">
      <w:pPr>
        <w:numPr>
          <w:ilvl w:val="2"/>
          <w:numId w:val="8"/>
        </w:numPr>
        <w:tabs>
          <w:tab w:val="left" w:pos="851"/>
        </w:tabs>
        <w:autoSpaceDE w:val="0"/>
        <w:autoSpaceDN w:val="0"/>
        <w:adjustRightInd w:val="0"/>
        <w:spacing w:after="240" w:afterLines="100" w:line="300" w:lineRule="auto"/>
        <w:rPr>
          <w:bCs/>
          <w:sz w:val="23"/>
          <w:szCs w:val="24"/>
        </w:rPr>
      </w:pPr>
      <w:r>
        <w:rPr>
          <w:rFonts w:hint="eastAsia"/>
          <w:bCs/>
          <w:sz w:val="23"/>
          <w:szCs w:val="24"/>
        </w:rPr>
        <w:t>如交割日前存在非现金处置收入，在本协议第6.2款约定的交割条件全部满足后</w:t>
      </w:r>
      <w:r>
        <w:rPr>
          <w:bCs/>
          <w:sz w:val="23"/>
          <w:szCs w:val="24"/>
        </w:rPr>
        <w:t>，</w:t>
      </w:r>
      <w:r>
        <w:rPr>
          <w:rFonts w:hint="eastAsia"/>
          <w:bCs/>
          <w:sz w:val="23"/>
          <w:szCs w:val="24"/>
        </w:rPr>
        <w:t>如该非现金处置收入已为甲方实际占有并有效控制且具备交付条件，甲方在【交割日】后【十五】个工作日内向乙方交付，交付即视为完成该等非现金处置收入的交割；如存在尚未为甲方有效控制或不具备交付条件的非现金处置收入，甲方按第6.</w:t>
      </w:r>
      <w:r>
        <w:rPr>
          <w:bCs/>
          <w:sz w:val="23"/>
          <w:szCs w:val="24"/>
        </w:rPr>
        <w:t>3</w:t>
      </w:r>
      <w:r>
        <w:rPr>
          <w:rFonts w:hint="eastAsia"/>
          <w:bCs/>
          <w:sz w:val="23"/>
          <w:szCs w:val="24"/>
        </w:rPr>
        <w:t>款的约定完成与其相关的资产文件的交割，即视为已交割完毕该等资产。非现金处置收入的过户等相关手续（如有）由乙方自行办理并由其承担与该等非现金处置收入相关的全部税费。</w:t>
      </w:r>
    </w:p>
    <w:p w14:paraId="0DA9C03A">
      <w:pPr>
        <w:pStyle w:val="32"/>
        <w:numPr>
          <w:ilvl w:val="0"/>
          <w:numId w:val="4"/>
        </w:numPr>
        <w:spacing w:after="240" w:afterLines="100" w:line="300" w:lineRule="auto"/>
        <w:jc w:val="both"/>
        <w:outlineLvl w:val="0"/>
        <w:rPr>
          <w:rFonts w:ascii="Times New Roman"/>
          <w:b/>
          <w:bCs/>
          <w:color w:val="auto"/>
          <w:kern w:val="2"/>
          <w:sz w:val="23"/>
          <w:szCs w:val="28"/>
        </w:rPr>
      </w:pPr>
      <w:bookmarkStart w:id="24" w:name="_Toc240895601"/>
      <w:r>
        <w:rPr>
          <w:rFonts w:hint="eastAsia" w:ascii="Times New Roman"/>
          <w:b/>
          <w:bCs/>
          <w:color w:val="auto"/>
          <w:kern w:val="2"/>
          <w:sz w:val="23"/>
          <w:szCs w:val="28"/>
        </w:rPr>
        <w:t>标的</w:t>
      </w:r>
      <w:r>
        <w:rPr>
          <w:rFonts w:ascii="Times New Roman"/>
          <w:b/>
          <w:bCs/>
          <w:color w:val="auto"/>
          <w:kern w:val="2"/>
          <w:sz w:val="23"/>
          <w:szCs w:val="28"/>
        </w:rPr>
        <w:t>资产的交割</w:t>
      </w:r>
      <w:bookmarkEnd w:id="19"/>
      <w:bookmarkEnd w:id="20"/>
      <w:bookmarkEnd w:id="21"/>
      <w:r>
        <w:rPr>
          <w:rFonts w:hint="eastAsia" w:ascii="Times New Roman"/>
          <w:b/>
          <w:bCs/>
          <w:color w:val="auto"/>
          <w:kern w:val="2"/>
          <w:sz w:val="23"/>
          <w:szCs w:val="28"/>
        </w:rPr>
        <w:t>及</w:t>
      </w:r>
      <w:r>
        <w:rPr>
          <w:rFonts w:ascii="Times New Roman"/>
          <w:b/>
          <w:bCs/>
          <w:color w:val="auto"/>
          <w:kern w:val="2"/>
          <w:sz w:val="23"/>
          <w:szCs w:val="28"/>
        </w:rPr>
        <w:t>合作事项</w:t>
      </w:r>
      <w:bookmarkEnd w:id="22"/>
      <w:bookmarkEnd w:id="24"/>
    </w:p>
    <w:p w14:paraId="5ACE7EBF">
      <w:pPr>
        <w:numPr>
          <w:ilvl w:val="1"/>
          <w:numId w:val="4"/>
        </w:numPr>
        <w:autoSpaceDE w:val="0"/>
        <w:autoSpaceDN w:val="0"/>
        <w:adjustRightInd w:val="0"/>
        <w:spacing w:after="240" w:afterLines="100" w:line="300" w:lineRule="auto"/>
        <w:outlineLvl w:val="1"/>
        <w:rPr>
          <w:sz w:val="23"/>
          <w:szCs w:val="24"/>
        </w:rPr>
      </w:pPr>
      <w:r>
        <w:rPr>
          <w:rFonts w:hint="eastAsia"/>
          <w:sz w:val="23"/>
          <w:szCs w:val="24"/>
        </w:rPr>
        <w:t>在本协议第6.2款约定的交割条件全部满足【或经甲方书面豁免】后【十五】个工作日内，双方根据甲方的指示开始进行本协议项下的交割。</w:t>
      </w:r>
    </w:p>
    <w:p w14:paraId="5317750B">
      <w:pPr>
        <w:numPr>
          <w:ilvl w:val="1"/>
          <w:numId w:val="4"/>
        </w:numPr>
        <w:autoSpaceDE w:val="0"/>
        <w:autoSpaceDN w:val="0"/>
        <w:adjustRightInd w:val="0"/>
        <w:spacing w:after="240" w:afterLines="100" w:line="300" w:lineRule="auto"/>
        <w:outlineLvl w:val="1"/>
        <w:rPr>
          <w:sz w:val="23"/>
          <w:szCs w:val="24"/>
        </w:rPr>
      </w:pPr>
      <w:r>
        <w:rPr>
          <w:rFonts w:hint="eastAsia"/>
          <w:sz w:val="23"/>
          <w:szCs w:val="24"/>
        </w:rPr>
        <w:t>标的</w:t>
      </w:r>
      <w:r>
        <w:rPr>
          <w:sz w:val="23"/>
          <w:szCs w:val="24"/>
        </w:rPr>
        <w:t>资产交割条件</w:t>
      </w:r>
    </w:p>
    <w:p w14:paraId="007027EE">
      <w:pPr>
        <w:numPr>
          <w:ilvl w:val="2"/>
          <w:numId w:val="9"/>
        </w:numPr>
        <w:spacing w:after="240" w:afterLines="100" w:line="300" w:lineRule="auto"/>
        <w:rPr>
          <w:sz w:val="23"/>
          <w:szCs w:val="22"/>
        </w:rPr>
      </w:pPr>
      <w:r>
        <w:rPr>
          <w:rFonts w:hint="eastAsia"/>
          <w:sz w:val="23"/>
          <w:szCs w:val="22"/>
        </w:rPr>
        <w:t>乙方</w:t>
      </w:r>
      <w:r>
        <w:rPr>
          <w:sz w:val="23"/>
          <w:szCs w:val="22"/>
        </w:rPr>
        <w:t>已经按照本协议约定的数额及方式向</w:t>
      </w:r>
      <w:r>
        <w:rPr>
          <w:rFonts w:hint="eastAsia"/>
          <w:sz w:val="23"/>
          <w:szCs w:val="22"/>
        </w:rPr>
        <w:t>甲方支付</w:t>
      </w:r>
      <w:r>
        <w:rPr>
          <w:sz w:val="23"/>
          <w:szCs w:val="22"/>
        </w:rPr>
        <w:t>完</w:t>
      </w:r>
      <w:r>
        <w:rPr>
          <w:rFonts w:hint="eastAsia"/>
          <w:sz w:val="23"/>
          <w:szCs w:val="22"/>
        </w:rPr>
        <w:t>毕全部</w:t>
      </w:r>
      <w:r>
        <w:rPr>
          <w:sz w:val="23"/>
          <w:szCs w:val="22"/>
        </w:rPr>
        <w:t>转让价款</w:t>
      </w:r>
      <w:r>
        <w:rPr>
          <w:rFonts w:hint="eastAsia"/>
          <w:sz w:val="23"/>
          <w:szCs w:val="22"/>
        </w:rPr>
        <w:t>及乙方承担</w:t>
      </w:r>
      <w:r>
        <w:rPr>
          <w:sz w:val="23"/>
          <w:szCs w:val="22"/>
        </w:rPr>
        <w:t>费用等</w:t>
      </w:r>
      <w:r>
        <w:rPr>
          <w:rFonts w:hint="eastAsia"/>
          <w:sz w:val="23"/>
          <w:szCs w:val="22"/>
        </w:rPr>
        <w:t>全部应付款项</w:t>
      </w:r>
      <w:r>
        <w:rPr>
          <w:sz w:val="23"/>
          <w:szCs w:val="22"/>
        </w:rPr>
        <w:t>。</w:t>
      </w:r>
    </w:p>
    <w:p w14:paraId="6D89CD17">
      <w:pPr>
        <w:numPr>
          <w:ilvl w:val="2"/>
          <w:numId w:val="9"/>
        </w:numPr>
        <w:spacing w:after="240" w:afterLines="100" w:line="300" w:lineRule="auto"/>
        <w:rPr>
          <w:sz w:val="23"/>
          <w:szCs w:val="22"/>
        </w:rPr>
      </w:pPr>
      <w:r>
        <w:rPr>
          <w:rFonts w:hint="eastAsia"/>
          <w:sz w:val="23"/>
          <w:szCs w:val="22"/>
        </w:rPr>
        <w:t>乙方及本协议担保人（如有）未发生</w:t>
      </w:r>
      <w:r>
        <w:rPr>
          <w:sz w:val="23"/>
          <w:szCs w:val="22"/>
        </w:rPr>
        <w:t>违反本协议</w:t>
      </w:r>
      <w:r>
        <w:rPr>
          <w:rFonts w:hint="eastAsia"/>
          <w:sz w:val="23"/>
          <w:szCs w:val="22"/>
        </w:rPr>
        <w:t>的</w:t>
      </w:r>
      <w:r>
        <w:rPr>
          <w:sz w:val="23"/>
          <w:szCs w:val="22"/>
        </w:rPr>
        <w:t>行为。</w:t>
      </w:r>
    </w:p>
    <w:p w14:paraId="0C0F96D5">
      <w:pPr>
        <w:numPr>
          <w:ilvl w:val="2"/>
          <w:numId w:val="9"/>
        </w:numPr>
        <w:spacing w:after="240" w:afterLines="100" w:line="300" w:lineRule="auto"/>
        <w:rPr>
          <w:sz w:val="23"/>
          <w:szCs w:val="22"/>
        </w:rPr>
      </w:pPr>
      <w:r>
        <w:rPr>
          <w:rFonts w:hint="eastAsia"/>
          <w:sz w:val="23"/>
          <w:szCs w:val="22"/>
        </w:rPr>
        <w:t>【其他】</w:t>
      </w:r>
    </w:p>
    <w:p w14:paraId="7634E33F">
      <w:pPr>
        <w:numPr>
          <w:ilvl w:val="1"/>
          <w:numId w:val="4"/>
        </w:numPr>
        <w:autoSpaceDE w:val="0"/>
        <w:autoSpaceDN w:val="0"/>
        <w:adjustRightInd w:val="0"/>
        <w:spacing w:after="240" w:afterLines="100" w:line="300" w:lineRule="auto"/>
        <w:outlineLvl w:val="1"/>
        <w:rPr>
          <w:sz w:val="23"/>
          <w:szCs w:val="24"/>
        </w:rPr>
      </w:pPr>
      <w:r>
        <w:rPr>
          <w:rFonts w:hint="eastAsia"/>
          <w:sz w:val="23"/>
          <w:szCs w:val="24"/>
        </w:rPr>
        <w:t>标的资产交割</w:t>
      </w:r>
      <w:r>
        <w:rPr>
          <w:sz w:val="23"/>
          <w:szCs w:val="24"/>
        </w:rPr>
        <w:t>手续</w:t>
      </w:r>
      <w:r>
        <w:rPr>
          <w:bCs/>
          <w:sz w:val="23"/>
          <w:szCs w:val="24"/>
        </w:rPr>
        <w:t xml:space="preserve"> </w:t>
      </w:r>
    </w:p>
    <w:p w14:paraId="3F502F08">
      <w:pPr>
        <w:numPr>
          <w:ilvl w:val="2"/>
          <w:numId w:val="10"/>
        </w:numPr>
        <w:spacing w:after="240" w:afterLines="100" w:line="300" w:lineRule="auto"/>
        <w:rPr>
          <w:sz w:val="23"/>
          <w:szCs w:val="23"/>
        </w:rPr>
      </w:pPr>
      <w:bookmarkStart w:id="25" w:name="_Ref469267792"/>
      <w:r>
        <w:rPr>
          <w:sz w:val="23"/>
          <w:szCs w:val="22"/>
        </w:rPr>
        <w:t>双方在甲方指定的时间和地点核对和清点</w:t>
      </w:r>
      <w:r>
        <w:rPr>
          <w:rFonts w:hint="eastAsia"/>
          <w:sz w:val="23"/>
          <w:szCs w:val="22"/>
        </w:rPr>
        <w:t>届时所余</w:t>
      </w:r>
      <w:r>
        <w:rPr>
          <w:sz w:val="23"/>
          <w:szCs w:val="22"/>
        </w:rPr>
        <w:t>全部资产文件，</w:t>
      </w:r>
      <w:bookmarkStart w:id="26" w:name="_Ref469178371"/>
      <w:r>
        <w:rPr>
          <w:sz w:val="23"/>
          <w:szCs w:val="22"/>
        </w:rPr>
        <w:t>并由</w:t>
      </w:r>
      <w:r>
        <w:rPr>
          <w:sz w:val="23"/>
          <w:szCs w:val="23"/>
        </w:rPr>
        <w:t>甲方向乙方交付</w:t>
      </w:r>
      <w:r>
        <w:rPr>
          <w:rFonts w:hint="eastAsia"/>
          <w:sz w:val="23"/>
          <w:szCs w:val="23"/>
        </w:rPr>
        <w:t>该等</w:t>
      </w:r>
      <w:r>
        <w:rPr>
          <w:sz w:val="23"/>
          <w:szCs w:val="22"/>
        </w:rPr>
        <w:t>资产文件。</w:t>
      </w:r>
      <w:bookmarkEnd w:id="25"/>
      <w:bookmarkEnd w:id="26"/>
      <w:r>
        <w:rPr>
          <w:sz w:val="23"/>
          <w:szCs w:val="22"/>
        </w:rPr>
        <w:t>乙方应当事先向</w:t>
      </w:r>
      <w:r>
        <w:rPr>
          <w:rFonts w:hint="eastAsia"/>
          <w:sz w:val="23"/>
          <w:szCs w:val="22"/>
        </w:rPr>
        <w:t>甲</w:t>
      </w:r>
      <w:r>
        <w:rPr>
          <w:sz w:val="23"/>
          <w:szCs w:val="22"/>
        </w:rPr>
        <w:t>方提交负责接收资产文件的乙方指定人员的身份证明和授权委托书。</w:t>
      </w:r>
    </w:p>
    <w:p w14:paraId="25ADC84C">
      <w:pPr>
        <w:numPr>
          <w:ilvl w:val="2"/>
          <w:numId w:val="10"/>
        </w:numPr>
        <w:spacing w:after="240" w:afterLines="100" w:line="300" w:lineRule="auto"/>
        <w:rPr>
          <w:rFonts w:hAnsi="Calibri"/>
          <w:sz w:val="23"/>
          <w:szCs w:val="22"/>
        </w:rPr>
      </w:pPr>
      <w:r>
        <w:rPr>
          <w:rFonts w:hAnsi="Calibri"/>
          <w:sz w:val="23"/>
          <w:szCs w:val="22"/>
        </w:rPr>
        <w:t>在第</w:t>
      </w:r>
      <w:r>
        <w:rPr>
          <w:rFonts w:hint="eastAsia" w:hAnsi="Calibri"/>
          <w:sz w:val="23"/>
          <w:szCs w:val="22"/>
        </w:rPr>
        <w:t>6</w:t>
      </w:r>
      <w:r>
        <w:rPr>
          <w:rFonts w:hAnsi="Calibri"/>
          <w:sz w:val="23"/>
          <w:szCs w:val="22"/>
        </w:rPr>
        <w:t>.3</w:t>
      </w:r>
      <w:r>
        <w:rPr>
          <w:rFonts w:hint="eastAsia" w:hAnsi="Calibri"/>
          <w:sz w:val="23"/>
          <w:szCs w:val="22"/>
        </w:rPr>
        <w:t>款</w:t>
      </w:r>
      <w:r>
        <w:rPr>
          <w:rFonts w:hAnsi="Calibri"/>
          <w:sz w:val="23"/>
          <w:szCs w:val="22"/>
        </w:rPr>
        <w:t>约定的交割手续完成时，双方在《关于资产转让的确认函》（格式见附件3）上盖章确认，</w:t>
      </w:r>
      <w:r>
        <w:rPr>
          <w:rFonts w:hint="eastAsia" w:hAnsi="Calibri"/>
          <w:sz w:val="23"/>
          <w:szCs w:val="22"/>
        </w:rPr>
        <w:t>全部</w:t>
      </w:r>
      <w:r>
        <w:rPr>
          <w:rFonts w:hAnsi="Calibri"/>
          <w:sz w:val="23"/>
          <w:szCs w:val="22"/>
        </w:rPr>
        <w:t>交割即为完成。交割完成的日期为交割日。</w:t>
      </w:r>
    </w:p>
    <w:p w14:paraId="2462F04D">
      <w:pPr>
        <w:numPr>
          <w:ilvl w:val="2"/>
          <w:numId w:val="10"/>
        </w:numPr>
        <w:spacing w:after="240" w:afterLines="100" w:line="300" w:lineRule="auto"/>
        <w:rPr>
          <w:sz w:val="23"/>
          <w:szCs w:val="22"/>
        </w:rPr>
      </w:pPr>
      <w:r>
        <w:rPr>
          <w:rFonts w:hint="eastAsia"/>
          <w:sz w:val="23"/>
          <w:szCs w:val="22"/>
        </w:rPr>
        <w:t>如乙方迟延核对资产文件、逾期不接收资产文件或不签署《关于资产转让的确认函》（格式见附件</w:t>
      </w:r>
      <w:r>
        <w:rPr>
          <w:sz w:val="23"/>
          <w:szCs w:val="22"/>
        </w:rPr>
        <w:t>3</w:t>
      </w:r>
      <w:r>
        <w:rPr>
          <w:rFonts w:hint="eastAsia"/>
          <w:sz w:val="23"/>
          <w:szCs w:val="22"/>
        </w:rPr>
        <w:t>）的，甲方可以将资产文件寄送予乙方或进行提存，甲方即完成资产文件的交割义务，寄出日或提存日为交割日。公证提存所发生的全部费用由乙方承担。因乙方未按时接收资产文件而发生的一切风险损失由乙方自行承担。</w:t>
      </w:r>
    </w:p>
    <w:p w14:paraId="2C04F23A">
      <w:pPr>
        <w:numPr>
          <w:ilvl w:val="2"/>
          <w:numId w:val="10"/>
        </w:numPr>
        <w:spacing w:after="240" w:afterLines="100" w:line="300" w:lineRule="auto"/>
        <w:rPr>
          <w:sz w:val="23"/>
          <w:szCs w:val="22"/>
        </w:rPr>
      </w:pPr>
      <w:r>
        <w:rPr>
          <w:rFonts w:hint="eastAsia"/>
          <w:sz w:val="23"/>
          <w:szCs w:val="22"/>
        </w:rPr>
        <w:t>乙方确认知悉并承担交割时标的资产及资产文件较之基准日变更或减损等全部后果及责任，将按交割时标的资产实际状况接收标的资产（包括全面承继过渡期间未处置完毕的标的资产及由其转化的权益、义务、责任等）并放弃对甲方的一切抗辩权及追索权。</w:t>
      </w:r>
    </w:p>
    <w:p w14:paraId="3F3E047A">
      <w:pPr>
        <w:numPr>
          <w:ilvl w:val="1"/>
          <w:numId w:val="4"/>
        </w:numPr>
        <w:autoSpaceDE w:val="0"/>
        <w:autoSpaceDN w:val="0"/>
        <w:adjustRightInd w:val="0"/>
        <w:spacing w:after="240" w:afterLines="100" w:line="300" w:lineRule="auto"/>
        <w:outlineLvl w:val="1"/>
        <w:rPr>
          <w:bCs/>
          <w:sz w:val="23"/>
          <w:szCs w:val="24"/>
        </w:rPr>
      </w:pPr>
      <w:r>
        <w:rPr>
          <w:rFonts w:hint="eastAsia"/>
          <w:bCs/>
          <w:sz w:val="23"/>
          <w:szCs w:val="24"/>
        </w:rPr>
        <w:t>交割日后处置费用、处置收入</w:t>
      </w:r>
      <w:r>
        <w:rPr>
          <w:bCs/>
          <w:sz w:val="23"/>
          <w:szCs w:val="24"/>
        </w:rPr>
        <w:t>及资料转交</w:t>
      </w:r>
    </w:p>
    <w:p w14:paraId="0867EA35">
      <w:pPr>
        <w:numPr>
          <w:ilvl w:val="2"/>
          <w:numId w:val="4"/>
        </w:numPr>
        <w:tabs>
          <w:tab w:val="left" w:pos="851"/>
        </w:tabs>
        <w:autoSpaceDE w:val="0"/>
        <w:autoSpaceDN w:val="0"/>
        <w:adjustRightInd w:val="0"/>
        <w:spacing w:after="240" w:afterLines="100" w:line="300" w:lineRule="auto"/>
        <w:rPr>
          <w:bCs/>
          <w:sz w:val="23"/>
          <w:szCs w:val="24"/>
        </w:rPr>
      </w:pPr>
      <w:r>
        <w:rPr>
          <w:rFonts w:hint="eastAsia"/>
          <w:bCs/>
          <w:sz w:val="23"/>
          <w:szCs w:val="24"/>
        </w:rPr>
        <w:t>如交割日后</w:t>
      </w:r>
      <w:r>
        <w:rPr>
          <w:rFonts w:hint="eastAsia"/>
          <w:sz w:val="23"/>
        </w:rPr>
        <w:t>甲方需支付处置费用及/或其他乙方承担费用，则乙方应</w:t>
      </w:r>
      <w:r>
        <w:rPr>
          <w:sz w:val="23"/>
        </w:rPr>
        <w:t>在</w:t>
      </w:r>
      <w:r>
        <w:rPr>
          <w:rFonts w:hint="eastAsia"/>
          <w:sz w:val="23"/>
        </w:rPr>
        <w:t>收</w:t>
      </w:r>
      <w:r>
        <w:rPr>
          <w:sz w:val="23"/>
        </w:rPr>
        <w:t>到甲方通知之日起【五】</w:t>
      </w:r>
      <w:r>
        <w:rPr>
          <w:rFonts w:hint="eastAsia"/>
          <w:sz w:val="23"/>
        </w:rPr>
        <w:t>个</w:t>
      </w:r>
      <w:r>
        <w:rPr>
          <w:sz w:val="23"/>
        </w:rPr>
        <w:t>工作</w:t>
      </w:r>
      <w:r>
        <w:rPr>
          <w:rFonts w:hint="eastAsia"/>
          <w:sz w:val="23"/>
        </w:rPr>
        <w:t>日</w:t>
      </w:r>
      <w:r>
        <w:rPr>
          <w:sz w:val="23"/>
        </w:rPr>
        <w:t>内向</w:t>
      </w:r>
      <w:r>
        <w:rPr>
          <w:rFonts w:hint="eastAsia"/>
          <w:sz w:val="23"/>
        </w:rPr>
        <w:t>甲方</w:t>
      </w:r>
      <w:r>
        <w:rPr>
          <w:sz w:val="23"/>
        </w:rPr>
        <w:t>足额支付</w:t>
      </w:r>
      <w:r>
        <w:rPr>
          <w:rFonts w:hint="eastAsia"/>
          <w:sz w:val="23"/>
        </w:rPr>
        <w:t>前述费用</w:t>
      </w:r>
      <w:r>
        <w:rPr>
          <w:sz w:val="23"/>
        </w:rPr>
        <w:t>。</w:t>
      </w:r>
    </w:p>
    <w:p w14:paraId="76D1CBE8">
      <w:pPr>
        <w:numPr>
          <w:ilvl w:val="2"/>
          <w:numId w:val="4"/>
        </w:numPr>
        <w:tabs>
          <w:tab w:val="left" w:pos="851"/>
        </w:tabs>
        <w:autoSpaceDE w:val="0"/>
        <w:autoSpaceDN w:val="0"/>
        <w:adjustRightInd w:val="0"/>
        <w:spacing w:after="240" w:afterLines="100" w:line="300" w:lineRule="auto"/>
        <w:rPr>
          <w:bCs/>
          <w:sz w:val="23"/>
          <w:szCs w:val="24"/>
        </w:rPr>
      </w:pPr>
      <w:r>
        <w:rPr>
          <w:rFonts w:hint="eastAsia"/>
          <w:bCs/>
          <w:sz w:val="23"/>
          <w:szCs w:val="24"/>
        </w:rPr>
        <w:t>交割日后（不含该日，下同）</w:t>
      </w:r>
      <w:r>
        <w:rPr>
          <w:bCs/>
          <w:sz w:val="23"/>
          <w:szCs w:val="24"/>
        </w:rPr>
        <w:t>甲方实际收到</w:t>
      </w:r>
      <w:r>
        <w:rPr>
          <w:rFonts w:hint="eastAsia"/>
          <w:bCs/>
          <w:sz w:val="23"/>
          <w:szCs w:val="24"/>
        </w:rPr>
        <w:t>现金</w:t>
      </w:r>
      <w:r>
        <w:rPr>
          <w:bCs/>
          <w:sz w:val="23"/>
          <w:szCs w:val="24"/>
        </w:rPr>
        <w:t>处置收入</w:t>
      </w:r>
      <w:r>
        <w:rPr>
          <w:rFonts w:hint="eastAsia"/>
          <w:bCs/>
          <w:sz w:val="23"/>
          <w:szCs w:val="24"/>
        </w:rPr>
        <w:t>的</w:t>
      </w:r>
      <w:r>
        <w:rPr>
          <w:bCs/>
          <w:sz w:val="23"/>
          <w:szCs w:val="24"/>
        </w:rPr>
        <w:t>，</w:t>
      </w:r>
      <w:r>
        <w:rPr>
          <w:rFonts w:hint="eastAsia"/>
          <w:bCs/>
          <w:sz w:val="23"/>
          <w:szCs w:val="24"/>
        </w:rPr>
        <w:t>甲方</w:t>
      </w:r>
      <w:r>
        <w:rPr>
          <w:bCs/>
          <w:sz w:val="23"/>
          <w:szCs w:val="24"/>
        </w:rPr>
        <w:t>有权</w:t>
      </w:r>
      <w:r>
        <w:rPr>
          <w:rFonts w:hint="eastAsia"/>
          <w:bCs/>
          <w:sz w:val="23"/>
          <w:szCs w:val="24"/>
        </w:rPr>
        <w:t>从</w:t>
      </w:r>
      <w:r>
        <w:rPr>
          <w:bCs/>
          <w:sz w:val="23"/>
          <w:szCs w:val="24"/>
        </w:rPr>
        <w:t>现金处置收入</w:t>
      </w:r>
      <w:r>
        <w:rPr>
          <w:rFonts w:hint="eastAsia"/>
          <w:bCs/>
          <w:sz w:val="23"/>
          <w:szCs w:val="24"/>
        </w:rPr>
        <w:t>中</w:t>
      </w:r>
      <w:r>
        <w:rPr>
          <w:bCs/>
          <w:sz w:val="23"/>
          <w:szCs w:val="24"/>
        </w:rPr>
        <w:t>直接扣除</w:t>
      </w:r>
      <w:r>
        <w:rPr>
          <w:rFonts w:hint="eastAsia"/>
          <w:bCs/>
          <w:sz w:val="23"/>
          <w:szCs w:val="24"/>
        </w:rPr>
        <w:t>乙方承担费用等乙方应付款项。现金</w:t>
      </w:r>
      <w:r>
        <w:rPr>
          <w:bCs/>
          <w:sz w:val="23"/>
          <w:szCs w:val="24"/>
        </w:rPr>
        <w:t>处置</w:t>
      </w:r>
      <w:r>
        <w:rPr>
          <w:rFonts w:hint="eastAsia"/>
          <w:bCs/>
          <w:sz w:val="23"/>
          <w:szCs w:val="24"/>
        </w:rPr>
        <w:t>收入</w:t>
      </w:r>
      <w:r>
        <w:rPr>
          <w:bCs/>
          <w:sz w:val="23"/>
          <w:szCs w:val="24"/>
        </w:rPr>
        <w:t>不足</w:t>
      </w:r>
      <w:r>
        <w:rPr>
          <w:rFonts w:hint="eastAsia"/>
          <w:bCs/>
          <w:sz w:val="23"/>
          <w:szCs w:val="24"/>
        </w:rPr>
        <w:t>扣除</w:t>
      </w:r>
      <w:r>
        <w:rPr>
          <w:bCs/>
          <w:sz w:val="23"/>
          <w:szCs w:val="24"/>
        </w:rPr>
        <w:t>乙方</w:t>
      </w:r>
      <w:r>
        <w:rPr>
          <w:rFonts w:hint="eastAsia"/>
          <w:bCs/>
          <w:sz w:val="23"/>
          <w:szCs w:val="24"/>
        </w:rPr>
        <w:t>应付款项</w:t>
      </w:r>
      <w:r>
        <w:rPr>
          <w:bCs/>
          <w:sz w:val="23"/>
          <w:szCs w:val="24"/>
        </w:rPr>
        <w:t>的</w:t>
      </w:r>
      <w:r>
        <w:rPr>
          <w:rFonts w:hint="eastAsia"/>
          <w:bCs/>
          <w:sz w:val="23"/>
          <w:szCs w:val="24"/>
        </w:rPr>
        <w:t>，</w:t>
      </w:r>
      <w:r>
        <w:rPr>
          <w:bCs/>
          <w:sz w:val="23"/>
          <w:szCs w:val="24"/>
        </w:rPr>
        <w:t>在</w:t>
      </w:r>
      <w:r>
        <w:rPr>
          <w:rFonts w:hint="eastAsia"/>
          <w:bCs/>
          <w:sz w:val="23"/>
          <w:szCs w:val="24"/>
        </w:rPr>
        <w:t>收</w:t>
      </w:r>
      <w:r>
        <w:rPr>
          <w:bCs/>
          <w:sz w:val="23"/>
          <w:szCs w:val="24"/>
        </w:rPr>
        <w:t>到甲方补足通知之日起【五】</w:t>
      </w:r>
      <w:r>
        <w:rPr>
          <w:rFonts w:hint="eastAsia"/>
          <w:bCs/>
          <w:sz w:val="23"/>
          <w:szCs w:val="24"/>
        </w:rPr>
        <w:t>个</w:t>
      </w:r>
      <w:r>
        <w:rPr>
          <w:bCs/>
          <w:sz w:val="23"/>
          <w:szCs w:val="24"/>
        </w:rPr>
        <w:t>工作日内，乙方</w:t>
      </w:r>
      <w:r>
        <w:rPr>
          <w:rFonts w:hint="eastAsia"/>
          <w:bCs/>
          <w:sz w:val="23"/>
          <w:szCs w:val="24"/>
        </w:rPr>
        <w:t>支付前述不足部分的款项</w:t>
      </w:r>
      <w:r>
        <w:rPr>
          <w:bCs/>
          <w:sz w:val="23"/>
          <w:szCs w:val="24"/>
        </w:rPr>
        <w:t>。</w:t>
      </w:r>
    </w:p>
    <w:p w14:paraId="4126DA0B">
      <w:pPr>
        <w:tabs>
          <w:tab w:val="left" w:pos="851"/>
        </w:tabs>
        <w:autoSpaceDE w:val="0"/>
        <w:autoSpaceDN w:val="0"/>
        <w:adjustRightInd w:val="0"/>
        <w:spacing w:after="240" w:afterLines="100" w:line="300" w:lineRule="auto"/>
        <w:ind w:left="1418"/>
        <w:rPr>
          <w:bCs/>
          <w:sz w:val="23"/>
          <w:szCs w:val="24"/>
        </w:rPr>
      </w:pPr>
      <w:r>
        <w:rPr>
          <w:rFonts w:hint="eastAsia"/>
          <w:bCs/>
          <w:sz w:val="23"/>
          <w:szCs w:val="24"/>
        </w:rPr>
        <w:t>现金处置收入</w:t>
      </w:r>
      <w:r>
        <w:rPr>
          <w:bCs/>
          <w:sz w:val="23"/>
          <w:szCs w:val="24"/>
        </w:rPr>
        <w:t>扣除</w:t>
      </w:r>
      <w:r>
        <w:rPr>
          <w:rFonts w:hint="eastAsia"/>
          <w:bCs/>
          <w:sz w:val="23"/>
          <w:szCs w:val="24"/>
        </w:rPr>
        <w:t>乙方承担费用等乙方应付款项</w:t>
      </w:r>
      <w:r>
        <w:rPr>
          <w:bCs/>
          <w:sz w:val="23"/>
          <w:szCs w:val="24"/>
        </w:rPr>
        <w:t>后有余额的，</w:t>
      </w:r>
      <w:r>
        <w:rPr>
          <w:rFonts w:hint="eastAsia"/>
          <w:bCs/>
          <w:sz w:val="23"/>
          <w:szCs w:val="24"/>
        </w:rPr>
        <w:t>甲方在【收到</w:t>
      </w:r>
      <w:r>
        <w:rPr>
          <w:bCs/>
          <w:sz w:val="23"/>
          <w:szCs w:val="24"/>
        </w:rPr>
        <w:t>该现金处置收入之日</w:t>
      </w:r>
      <w:r>
        <w:rPr>
          <w:rFonts w:hint="eastAsia"/>
          <w:bCs/>
          <w:sz w:val="23"/>
          <w:szCs w:val="24"/>
        </w:rPr>
        <w:t>】</w:t>
      </w:r>
      <w:r>
        <w:rPr>
          <w:bCs/>
          <w:sz w:val="23"/>
          <w:szCs w:val="24"/>
        </w:rPr>
        <w:t>起【</w:t>
      </w:r>
      <w:r>
        <w:rPr>
          <w:rFonts w:hint="eastAsia"/>
          <w:bCs/>
          <w:sz w:val="23"/>
          <w:szCs w:val="24"/>
        </w:rPr>
        <w:t>五</w:t>
      </w:r>
      <w:r>
        <w:rPr>
          <w:bCs/>
          <w:sz w:val="23"/>
          <w:szCs w:val="24"/>
        </w:rPr>
        <w:t>】</w:t>
      </w:r>
      <w:r>
        <w:rPr>
          <w:rFonts w:hint="eastAsia"/>
          <w:bCs/>
          <w:sz w:val="23"/>
          <w:szCs w:val="24"/>
        </w:rPr>
        <w:t>个</w:t>
      </w:r>
      <w:r>
        <w:rPr>
          <w:bCs/>
          <w:sz w:val="23"/>
          <w:szCs w:val="24"/>
        </w:rPr>
        <w:t>工作日内</w:t>
      </w:r>
      <w:r>
        <w:rPr>
          <w:rFonts w:hint="eastAsia"/>
          <w:bCs/>
          <w:sz w:val="23"/>
          <w:szCs w:val="24"/>
        </w:rPr>
        <w:t>将</w:t>
      </w:r>
      <w:r>
        <w:rPr>
          <w:bCs/>
          <w:sz w:val="23"/>
          <w:szCs w:val="24"/>
        </w:rPr>
        <w:t>剩余现金处置收入</w:t>
      </w:r>
      <w:r>
        <w:rPr>
          <w:rFonts w:hint="eastAsia"/>
          <w:bCs/>
          <w:sz w:val="23"/>
          <w:szCs w:val="24"/>
        </w:rPr>
        <w:t>汇入</w:t>
      </w:r>
      <w:r>
        <w:rPr>
          <w:bCs/>
          <w:sz w:val="23"/>
          <w:szCs w:val="24"/>
        </w:rPr>
        <w:t>乙方账户。</w:t>
      </w:r>
      <w:r>
        <w:rPr>
          <w:rFonts w:hint="eastAsia"/>
          <w:bCs/>
          <w:sz w:val="23"/>
          <w:szCs w:val="24"/>
        </w:rPr>
        <w:t>甲方</w:t>
      </w:r>
      <w:r>
        <w:rPr>
          <w:bCs/>
          <w:sz w:val="23"/>
          <w:szCs w:val="24"/>
        </w:rPr>
        <w:t>将</w:t>
      </w:r>
      <w:r>
        <w:rPr>
          <w:rFonts w:hint="eastAsia"/>
          <w:bCs/>
          <w:sz w:val="23"/>
          <w:szCs w:val="24"/>
        </w:rPr>
        <w:t>前述</w:t>
      </w:r>
      <w:r>
        <w:rPr>
          <w:bCs/>
          <w:sz w:val="23"/>
          <w:szCs w:val="24"/>
        </w:rPr>
        <w:t>余额汇入乙方账户之前，又发生</w:t>
      </w:r>
      <w:r>
        <w:rPr>
          <w:rFonts w:hint="eastAsia"/>
          <w:bCs/>
          <w:sz w:val="23"/>
          <w:szCs w:val="24"/>
        </w:rPr>
        <w:t>乙方承担费用等乙方应付款项</w:t>
      </w:r>
      <w:r>
        <w:rPr>
          <w:bCs/>
          <w:sz w:val="23"/>
          <w:szCs w:val="24"/>
        </w:rPr>
        <w:t>的，甲方可以</w:t>
      </w:r>
      <w:r>
        <w:rPr>
          <w:rFonts w:hint="eastAsia"/>
          <w:bCs/>
          <w:sz w:val="23"/>
          <w:szCs w:val="24"/>
        </w:rPr>
        <w:t>从</w:t>
      </w:r>
      <w:r>
        <w:rPr>
          <w:bCs/>
          <w:sz w:val="23"/>
          <w:szCs w:val="24"/>
        </w:rPr>
        <w:t>余额中直接扣</w:t>
      </w:r>
      <w:r>
        <w:rPr>
          <w:rFonts w:hint="eastAsia"/>
          <w:bCs/>
          <w:sz w:val="23"/>
          <w:szCs w:val="24"/>
        </w:rPr>
        <w:t>除</w:t>
      </w:r>
      <w:r>
        <w:rPr>
          <w:bCs/>
          <w:sz w:val="23"/>
          <w:szCs w:val="24"/>
        </w:rPr>
        <w:t>乙方</w:t>
      </w:r>
      <w:r>
        <w:rPr>
          <w:rFonts w:hint="eastAsia"/>
          <w:bCs/>
          <w:sz w:val="23"/>
          <w:szCs w:val="24"/>
        </w:rPr>
        <w:t>应付款项。</w:t>
      </w:r>
    </w:p>
    <w:p w14:paraId="513C8585">
      <w:pPr>
        <w:numPr>
          <w:ilvl w:val="2"/>
          <w:numId w:val="11"/>
        </w:numPr>
        <w:tabs>
          <w:tab w:val="left" w:pos="851"/>
        </w:tabs>
        <w:autoSpaceDE w:val="0"/>
        <w:autoSpaceDN w:val="0"/>
        <w:adjustRightInd w:val="0"/>
        <w:spacing w:after="240" w:afterLines="100" w:line="300" w:lineRule="auto"/>
        <w:rPr>
          <w:bCs/>
          <w:sz w:val="23"/>
          <w:szCs w:val="24"/>
        </w:rPr>
      </w:pPr>
      <w:r>
        <w:rPr>
          <w:rFonts w:hint="eastAsia"/>
          <w:bCs/>
          <w:sz w:val="23"/>
          <w:szCs w:val="24"/>
        </w:rPr>
        <w:t>交割日后，如甲方实际收到非现金处置收入，甲方收到全部</w:t>
      </w:r>
      <w:r>
        <w:rPr>
          <w:bCs/>
          <w:sz w:val="23"/>
          <w:szCs w:val="24"/>
        </w:rPr>
        <w:t>已发生乙方承担费用</w:t>
      </w:r>
      <w:r>
        <w:rPr>
          <w:rFonts w:hint="eastAsia"/>
          <w:bCs/>
          <w:sz w:val="23"/>
          <w:szCs w:val="24"/>
        </w:rPr>
        <w:t>等乙方应付款项且不存在乙方或担保人违约情形的</w:t>
      </w:r>
      <w:r>
        <w:rPr>
          <w:bCs/>
          <w:sz w:val="23"/>
          <w:szCs w:val="24"/>
        </w:rPr>
        <w:t>，</w:t>
      </w:r>
      <w:r>
        <w:rPr>
          <w:rFonts w:hint="eastAsia"/>
          <w:bCs/>
          <w:sz w:val="23"/>
          <w:szCs w:val="24"/>
        </w:rPr>
        <w:t>如该非现金处置收入已为甲方实际占有并有效控制且具备交付条件，甲方在收到全部已发生乙方承担费用等乙方应付款项之日起【十】个工作日内向乙方交付，交付即视为完成该等非现金处置收入的交割；如存在尚未为甲方有效控制或不具备交付条件的非现金处置收入，甲方在收到已发生的全部</w:t>
      </w:r>
      <w:r>
        <w:rPr>
          <w:bCs/>
          <w:sz w:val="23"/>
          <w:szCs w:val="24"/>
        </w:rPr>
        <w:t>乙方承担费用</w:t>
      </w:r>
      <w:r>
        <w:rPr>
          <w:rFonts w:hint="eastAsia"/>
          <w:bCs/>
          <w:sz w:val="23"/>
          <w:szCs w:val="24"/>
        </w:rPr>
        <w:t>等乙方应付款项</w:t>
      </w:r>
      <w:r>
        <w:rPr>
          <w:bCs/>
          <w:sz w:val="23"/>
          <w:szCs w:val="24"/>
        </w:rPr>
        <w:t>之日起【十】</w:t>
      </w:r>
      <w:r>
        <w:rPr>
          <w:rFonts w:hint="eastAsia"/>
          <w:bCs/>
          <w:sz w:val="23"/>
          <w:szCs w:val="24"/>
        </w:rPr>
        <w:t>个</w:t>
      </w:r>
      <w:r>
        <w:rPr>
          <w:bCs/>
          <w:sz w:val="23"/>
          <w:szCs w:val="24"/>
        </w:rPr>
        <w:t>工作日内</w:t>
      </w:r>
      <w:r>
        <w:rPr>
          <w:rFonts w:hint="eastAsia"/>
          <w:bCs/>
          <w:sz w:val="23"/>
          <w:szCs w:val="24"/>
        </w:rPr>
        <w:t>，按第6.3款的约定完成与其相关的资产文件的交割，即视为已交割该等非现金处置收入。非现金处置收入的</w:t>
      </w:r>
      <w:r>
        <w:rPr>
          <w:bCs/>
          <w:sz w:val="23"/>
          <w:szCs w:val="24"/>
        </w:rPr>
        <w:t>过户</w:t>
      </w:r>
      <w:r>
        <w:rPr>
          <w:rFonts w:hint="eastAsia"/>
          <w:bCs/>
          <w:sz w:val="23"/>
          <w:szCs w:val="24"/>
        </w:rPr>
        <w:t>等相关</w:t>
      </w:r>
      <w:r>
        <w:rPr>
          <w:bCs/>
          <w:sz w:val="23"/>
          <w:szCs w:val="24"/>
        </w:rPr>
        <w:t>手续</w:t>
      </w:r>
      <w:r>
        <w:rPr>
          <w:rFonts w:hint="eastAsia"/>
          <w:bCs/>
          <w:sz w:val="23"/>
          <w:szCs w:val="24"/>
        </w:rPr>
        <w:t>（如有）</w:t>
      </w:r>
      <w:r>
        <w:rPr>
          <w:bCs/>
          <w:sz w:val="23"/>
          <w:szCs w:val="24"/>
        </w:rPr>
        <w:t>由乙方自行办理并</w:t>
      </w:r>
      <w:r>
        <w:rPr>
          <w:rFonts w:hint="eastAsia"/>
          <w:bCs/>
          <w:sz w:val="23"/>
          <w:szCs w:val="24"/>
        </w:rPr>
        <w:t>由其</w:t>
      </w:r>
      <w:r>
        <w:rPr>
          <w:bCs/>
          <w:sz w:val="23"/>
          <w:szCs w:val="24"/>
        </w:rPr>
        <w:t>承担</w:t>
      </w:r>
      <w:r>
        <w:rPr>
          <w:rFonts w:hint="eastAsia"/>
          <w:bCs/>
          <w:sz w:val="23"/>
          <w:szCs w:val="24"/>
        </w:rPr>
        <w:t>与该等非现金处置收入相关的全部税费</w:t>
      </w:r>
      <w:r>
        <w:rPr>
          <w:bCs/>
          <w:sz w:val="23"/>
          <w:szCs w:val="24"/>
        </w:rPr>
        <w:t>。</w:t>
      </w:r>
    </w:p>
    <w:p w14:paraId="6EC1673A">
      <w:pPr>
        <w:numPr>
          <w:ilvl w:val="2"/>
          <w:numId w:val="11"/>
        </w:numPr>
        <w:tabs>
          <w:tab w:val="left" w:pos="851"/>
        </w:tabs>
        <w:autoSpaceDE w:val="0"/>
        <w:autoSpaceDN w:val="0"/>
        <w:adjustRightInd w:val="0"/>
        <w:spacing w:after="240" w:afterLines="100" w:line="300" w:lineRule="auto"/>
        <w:rPr>
          <w:bCs/>
          <w:sz w:val="23"/>
          <w:szCs w:val="24"/>
        </w:rPr>
      </w:pPr>
      <w:r>
        <w:rPr>
          <w:rFonts w:hint="eastAsia"/>
          <w:bCs/>
          <w:sz w:val="23"/>
          <w:szCs w:val="24"/>
        </w:rPr>
        <w:t>交割日后，甲方收到</w:t>
      </w:r>
      <w:r>
        <w:rPr>
          <w:bCs/>
          <w:sz w:val="23"/>
          <w:szCs w:val="24"/>
        </w:rPr>
        <w:t>与标的资产有关的任何帐单、发票、保险单、信函、文件或其他通信往来文书后，甲方应在收到</w:t>
      </w:r>
      <w:r>
        <w:rPr>
          <w:rFonts w:hint="eastAsia"/>
          <w:bCs/>
          <w:sz w:val="23"/>
          <w:szCs w:val="24"/>
        </w:rPr>
        <w:t>文件</w:t>
      </w:r>
      <w:r>
        <w:rPr>
          <w:bCs/>
          <w:sz w:val="23"/>
          <w:szCs w:val="24"/>
        </w:rPr>
        <w:t>后</w:t>
      </w:r>
      <w:r>
        <w:rPr>
          <w:rFonts w:hint="eastAsia"/>
          <w:bCs/>
          <w:sz w:val="23"/>
          <w:szCs w:val="24"/>
        </w:rPr>
        <w:t>及时</w:t>
      </w:r>
      <w:r>
        <w:rPr>
          <w:bCs/>
          <w:sz w:val="23"/>
          <w:szCs w:val="24"/>
        </w:rPr>
        <w:t>将原件或复印件交付给乙方</w:t>
      </w:r>
      <w:r>
        <w:rPr>
          <w:rFonts w:hint="eastAsia"/>
          <w:bCs/>
          <w:sz w:val="23"/>
          <w:szCs w:val="24"/>
        </w:rPr>
        <w:t>。</w:t>
      </w:r>
    </w:p>
    <w:p w14:paraId="3FC161F0">
      <w:pPr>
        <w:numPr>
          <w:ilvl w:val="1"/>
          <w:numId w:val="4"/>
        </w:numPr>
        <w:autoSpaceDE w:val="0"/>
        <w:autoSpaceDN w:val="0"/>
        <w:adjustRightInd w:val="0"/>
        <w:spacing w:before="240" w:beforeLines="100" w:after="240" w:afterLines="100" w:line="300" w:lineRule="auto"/>
        <w:ind w:left="777" w:hanging="777" w:hangingChars="338"/>
        <w:outlineLvl w:val="1"/>
        <w:rPr>
          <w:rFonts w:hint="eastAsia"/>
          <w:bCs/>
          <w:sz w:val="23"/>
          <w:szCs w:val="24"/>
        </w:rPr>
      </w:pPr>
      <w:r>
        <w:rPr>
          <w:rFonts w:hint="eastAsia"/>
          <w:bCs/>
          <w:sz w:val="23"/>
          <w:szCs w:val="24"/>
        </w:rPr>
        <w:t>自基准日起，转让方收到或控制的处置收入，在转让方收到已发生的乙方承担费用之前，转让方有权不向乙方交付。乙方未按照本协议约定向转让方支付乙方承担费用的，转让方有权自行处置前述处置收入，并就处置所得在应付未付款项【并加算同期银行贷款利息】、保管处置前述处置收入产生的费用及转让方损失的范围内享有优先受偿权。处置前述处置收入不足以支付前述费用或损失的，转让方保留继续向乙方追偿的权利。</w:t>
      </w:r>
    </w:p>
    <w:p w14:paraId="6FC642F3">
      <w:pPr>
        <w:numPr>
          <w:ilvl w:val="1"/>
          <w:numId w:val="4"/>
        </w:numPr>
        <w:autoSpaceDE w:val="0"/>
        <w:autoSpaceDN w:val="0"/>
        <w:adjustRightInd w:val="0"/>
        <w:spacing w:before="240" w:beforeLines="100" w:after="240" w:afterLines="100" w:line="300" w:lineRule="auto"/>
        <w:ind w:left="777" w:hanging="777" w:hangingChars="338"/>
        <w:outlineLvl w:val="1"/>
        <w:rPr>
          <w:bCs/>
          <w:sz w:val="23"/>
          <w:szCs w:val="24"/>
        </w:rPr>
      </w:pPr>
      <w:r>
        <w:rPr>
          <w:rFonts w:hint="eastAsia"/>
          <w:bCs/>
          <w:sz w:val="23"/>
          <w:szCs w:val="24"/>
        </w:rPr>
        <w:t>转让方根据本协议向乙方移交任何现金处置收入的有权按照收到该现金处置收入时的币种或经换汇之后的其他币种移交，并不承担汇率变动风险；向乙方移交任何非现金处置收入的仅需按照移交时的现状移交。</w:t>
      </w:r>
    </w:p>
    <w:p w14:paraId="3B5F0713">
      <w:pPr>
        <w:numPr>
          <w:ilvl w:val="1"/>
          <w:numId w:val="4"/>
        </w:numPr>
        <w:autoSpaceDE w:val="0"/>
        <w:autoSpaceDN w:val="0"/>
        <w:adjustRightInd w:val="0"/>
        <w:spacing w:before="240" w:beforeLines="100" w:after="240" w:afterLines="100" w:line="300" w:lineRule="auto"/>
        <w:ind w:left="777" w:hanging="777" w:hangingChars="338"/>
        <w:outlineLvl w:val="1"/>
        <w:rPr>
          <w:bCs/>
          <w:sz w:val="23"/>
          <w:szCs w:val="24"/>
        </w:rPr>
      </w:pPr>
      <w:r>
        <w:rPr>
          <w:rFonts w:hint="eastAsia"/>
          <w:bCs/>
          <w:sz w:val="23"/>
          <w:szCs w:val="24"/>
        </w:rPr>
        <w:t>产权及担保权利登记手续的完善及变更</w:t>
      </w:r>
    </w:p>
    <w:p w14:paraId="4BDB6438">
      <w:pPr>
        <w:autoSpaceDE w:val="0"/>
        <w:autoSpaceDN w:val="0"/>
        <w:adjustRightInd w:val="0"/>
        <w:spacing w:after="240" w:afterLines="100" w:line="300" w:lineRule="auto"/>
        <w:ind w:left="709"/>
        <w:outlineLvl w:val="1"/>
        <w:rPr>
          <w:bCs/>
          <w:sz w:val="23"/>
          <w:szCs w:val="24"/>
        </w:rPr>
      </w:pPr>
      <w:r>
        <w:rPr>
          <w:rFonts w:hint="eastAsia"/>
          <w:bCs/>
          <w:sz w:val="23"/>
          <w:szCs w:val="24"/>
        </w:rPr>
        <w:t>乙方应自行办理为取得或者完善标的</w:t>
      </w:r>
      <w:r>
        <w:rPr>
          <w:bCs/>
          <w:sz w:val="23"/>
          <w:szCs w:val="24"/>
        </w:rPr>
        <w:t>资产（</w:t>
      </w:r>
      <w:r>
        <w:rPr>
          <w:rFonts w:hint="eastAsia"/>
          <w:bCs/>
          <w:sz w:val="23"/>
          <w:szCs w:val="24"/>
        </w:rPr>
        <w:t>包括</w:t>
      </w:r>
      <w:r>
        <w:rPr>
          <w:bCs/>
          <w:sz w:val="23"/>
          <w:szCs w:val="24"/>
        </w:rPr>
        <w:t>但不限于</w:t>
      </w:r>
      <w:r>
        <w:rPr>
          <w:rFonts w:hint="eastAsia"/>
          <w:bCs/>
          <w:sz w:val="23"/>
          <w:szCs w:val="24"/>
        </w:rPr>
        <w:t>标的资产相关的担保权利、抵债资产、其他资产等</w:t>
      </w:r>
      <w:r>
        <w:rPr>
          <w:bCs/>
          <w:sz w:val="23"/>
          <w:szCs w:val="24"/>
        </w:rPr>
        <w:t>）</w:t>
      </w:r>
      <w:r>
        <w:rPr>
          <w:rFonts w:hint="eastAsia"/>
          <w:bCs/>
          <w:sz w:val="23"/>
          <w:szCs w:val="24"/>
        </w:rPr>
        <w:t>法律上的权属所需要的任何手续，甲方可给予必要的协助。但由此产生的向任何主体所需支付的任何税款、费用等，无论该等税费应当由任何人于任何时间交纳，均由乙方承担，甲方无需承担且乙方不得以任何方式要求甲方承担。无论任何原因，导致乙方无法最终取得或完善前述法律上权属的风险由乙方自行承担。</w:t>
      </w:r>
    </w:p>
    <w:p w14:paraId="1354B409">
      <w:pPr>
        <w:numPr>
          <w:ilvl w:val="1"/>
          <w:numId w:val="4"/>
        </w:numPr>
        <w:autoSpaceDE w:val="0"/>
        <w:autoSpaceDN w:val="0"/>
        <w:adjustRightInd w:val="0"/>
        <w:spacing w:after="240" w:afterLines="100" w:line="300" w:lineRule="auto"/>
        <w:outlineLvl w:val="1"/>
        <w:rPr>
          <w:bCs/>
          <w:sz w:val="23"/>
          <w:szCs w:val="24"/>
        </w:rPr>
      </w:pPr>
      <w:r>
        <w:rPr>
          <w:rFonts w:hint="eastAsia"/>
          <w:bCs/>
          <w:sz w:val="23"/>
          <w:szCs w:val="24"/>
        </w:rPr>
        <w:t>诉讼、执行主体的变更</w:t>
      </w:r>
    </w:p>
    <w:p w14:paraId="77035BAB">
      <w:pPr>
        <w:autoSpaceDE w:val="0"/>
        <w:autoSpaceDN w:val="0"/>
        <w:adjustRightInd w:val="0"/>
        <w:spacing w:after="240" w:afterLines="100" w:line="300" w:lineRule="auto"/>
        <w:ind w:left="709"/>
        <w:outlineLvl w:val="1"/>
        <w:rPr>
          <w:bCs/>
          <w:sz w:val="23"/>
          <w:szCs w:val="24"/>
        </w:rPr>
      </w:pPr>
      <w:r>
        <w:rPr>
          <w:rFonts w:hint="eastAsia"/>
          <w:bCs/>
          <w:sz w:val="23"/>
          <w:szCs w:val="24"/>
        </w:rPr>
        <w:t>乙方应自行完成任何因标的资产转让而引起的诉讼主体、执行主体的变更手续，甲方可给予必要的协助。由此产生的一切费用，均由乙方承担。无论任何原因（特别是由于司法政策或司法实务的原因）导致相关手续无法办理完成的风险由乙方承担。</w:t>
      </w:r>
    </w:p>
    <w:p w14:paraId="583758BF">
      <w:pPr>
        <w:numPr>
          <w:ilvl w:val="1"/>
          <w:numId w:val="4"/>
        </w:numPr>
        <w:autoSpaceDE w:val="0"/>
        <w:autoSpaceDN w:val="0"/>
        <w:adjustRightInd w:val="0"/>
        <w:spacing w:after="240" w:afterLines="100" w:line="300" w:lineRule="auto"/>
        <w:outlineLvl w:val="1"/>
        <w:rPr>
          <w:bCs/>
          <w:sz w:val="23"/>
          <w:szCs w:val="24"/>
        </w:rPr>
      </w:pPr>
      <w:r>
        <w:rPr>
          <w:rFonts w:hint="eastAsia"/>
          <w:bCs/>
          <w:sz w:val="23"/>
          <w:szCs w:val="24"/>
        </w:rPr>
        <w:t>破产程序中的变更</w:t>
      </w:r>
    </w:p>
    <w:p w14:paraId="695F4534">
      <w:pPr>
        <w:autoSpaceDE w:val="0"/>
        <w:autoSpaceDN w:val="0"/>
        <w:adjustRightInd w:val="0"/>
        <w:spacing w:after="240" w:afterLines="100" w:line="300" w:lineRule="auto"/>
        <w:ind w:left="709"/>
        <w:outlineLvl w:val="1"/>
        <w:rPr>
          <w:bCs/>
          <w:sz w:val="23"/>
          <w:szCs w:val="24"/>
        </w:rPr>
      </w:pPr>
      <w:r>
        <w:rPr>
          <w:rFonts w:hint="eastAsia"/>
          <w:bCs/>
          <w:sz w:val="23"/>
          <w:szCs w:val="24"/>
        </w:rPr>
        <w:t>乙方确认，对于已进入破产程序的债务企业，乙方应在合理期限内及时向管辖法院申请变更债权人登记，及时参加债权人会议。乙方向管辖法院申请变更登记的全部费用由其自行承担。甲方不承担因破产管辖法院拒绝变更登记或乙方因办理或不办理变更手续而发生的任何不利后果。</w:t>
      </w:r>
    </w:p>
    <w:p w14:paraId="1477B85C">
      <w:pPr>
        <w:numPr>
          <w:ilvl w:val="1"/>
          <w:numId w:val="4"/>
        </w:numPr>
        <w:autoSpaceDE w:val="0"/>
        <w:autoSpaceDN w:val="0"/>
        <w:adjustRightInd w:val="0"/>
        <w:spacing w:after="240" w:afterLines="100" w:line="300" w:lineRule="auto"/>
        <w:outlineLvl w:val="1"/>
        <w:rPr>
          <w:bCs/>
          <w:sz w:val="23"/>
          <w:szCs w:val="24"/>
        </w:rPr>
      </w:pPr>
      <w:r>
        <w:rPr>
          <w:rFonts w:hint="eastAsia"/>
          <w:bCs/>
          <w:sz w:val="23"/>
          <w:szCs w:val="24"/>
        </w:rPr>
        <w:t>责任的承担与赔偿</w:t>
      </w:r>
    </w:p>
    <w:p w14:paraId="5E8BC712">
      <w:pPr>
        <w:autoSpaceDE w:val="0"/>
        <w:autoSpaceDN w:val="0"/>
        <w:adjustRightInd w:val="0"/>
        <w:spacing w:after="240" w:afterLines="100" w:line="300" w:lineRule="auto"/>
        <w:ind w:left="709"/>
        <w:outlineLvl w:val="1"/>
        <w:rPr>
          <w:bCs/>
          <w:sz w:val="23"/>
          <w:szCs w:val="24"/>
        </w:rPr>
      </w:pPr>
      <w:r>
        <w:rPr>
          <w:rFonts w:hint="eastAsia"/>
          <w:bCs/>
          <w:sz w:val="23"/>
          <w:szCs w:val="24"/>
        </w:rPr>
        <w:t>自基准日起，若甲方因标的资产或因对标的资产的管理或处置向第三方承担全部或部分责任，则乙方应对甲方予以全额补偿并应在收到甲方通知之日 起【十】个工作日内足额支付全部补偿款。</w:t>
      </w:r>
    </w:p>
    <w:p w14:paraId="453511C7">
      <w:pPr>
        <w:pStyle w:val="32"/>
        <w:numPr>
          <w:ilvl w:val="0"/>
          <w:numId w:val="4"/>
        </w:numPr>
        <w:spacing w:after="240" w:afterLines="100" w:line="300" w:lineRule="auto"/>
        <w:jc w:val="both"/>
        <w:outlineLvl w:val="0"/>
        <w:rPr>
          <w:rFonts w:ascii="Times New Roman"/>
          <w:b/>
          <w:bCs/>
          <w:color w:val="auto"/>
          <w:kern w:val="2"/>
          <w:sz w:val="23"/>
          <w:szCs w:val="28"/>
        </w:rPr>
      </w:pPr>
      <w:bookmarkStart w:id="27" w:name="_Toc240895602"/>
      <w:r>
        <w:rPr>
          <w:rFonts w:hint="eastAsia" w:ascii="Times New Roman"/>
          <w:b/>
          <w:bCs/>
          <w:color w:val="auto"/>
          <w:kern w:val="2"/>
          <w:sz w:val="23"/>
          <w:szCs w:val="28"/>
        </w:rPr>
        <w:t>债权</w:t>
      </w:r>
      <w:r>
        <w:rPr>
          <w:rFonts w:ascii="Times New Roman"/>
          <w:b/>
          <w:bCs/>
          <w:color w:val="auto"/>
          <w:kern w:val="2"/>
          <w:sz w:val="23"/>
          <w:szCs w:val="28"/>
        </w:rPr>
        <w:t>转让通知</w:t>
      </w:r>
      <w:bookmarkEnd w:id="27"/>
    </w:p>
    <w:p w14:paraId="7C5EFB45">
      <w:pPr>
        <w:pStyle w:val="32"/>
        <w:numPr>
          <w:ilvl w:val="1"/>
          <w:numId w:val="4"/>
        </w:numPr>
        <w:spacing w:after="240" w:afterLines="100" w:line="300" w:lineRule="auto"/>
        <w:jc w:val="both"/>
        <w:outlineLvl w:val="1"/>
        <w:rPr>
          <w:rFonts w:ascii="Times New Roman"/>
          <w:bCs/>
          <w:color w:val="auto"/>
          <w:kern w:val="2"/>
          <w:sz w:val="23"/>
        </w:rPr>
      </w:pPr>
      <w:r>
        <w:rPr>
          <w:rFonts w:hint="eastAsia" w:ascii="Times New Roman"/>
          <w:bCs/>
          <w:color w:val="auto"/>
          <w:kern w:val="2"/>
          <w:sz w:val="23"/>
        </w:rPr>
        <w:t>就甲方享有的债权资产，甲方【和乙方】将在交割日起【十】个工作日内共同在【省级】以上公开</w:t>
      </w:r>
      <w:r>
        <w:rPr>
          <w:rFonts w:ascii="Times New Roman"/>
          <w:bCs/>
          <w:color w:val="auto"/>
          <w:kern w:val="2"/>
          <w:sz w:val="23"/>
        </w:rPr>
        <w:t>发行的</w:t>
      </w:r>
      <w:r>
        <w:rPr>
          <w:rFonts w:hint="eastAsia" w:ascii="Times New Roman"/>
          <w:bCs/>
          <w:color w:val="auto"/>
          <w:kern w:val="2"/>
          <w:sz w:val="23"/>
        </w:rPr>
        <w:t>报纸上刊登有关债权转让的公告，公告费用由【乙方】承担。【如乙方提出要求，经甲方同意，双方亦可在交割日起的</w:t>
      </w:r>
      <w:r>
        <w:rPr>
          <w:rFonts w:hint="eastAsia" w:ascii="Times New Roman"/>
          <w:bCs/>
          <w:color w:val="auto"/>
          <w:kern w:val="2"/>
          <w:sz w:val="23"/>
          <w:u w:val="single"/>
        </w:rPr>
        <w:t xml:space="preserve">   十  </w:t>
      </w:r>
      <w:r>
        <w:rPr>
          <w:rFonts w:hint="eastAsia" w:ascii="Times New Roman"/>
          <w:bCs/>
          <w:color w:val="auto"/>
          <w:kern w:val="2"/>
          <w:sz w:val="23"/>
        </w:rPr>
        <w:t>个工作日内由甲方配合乙方采用公证邮寄送达的方式向义务人发出债权转让通知。相关债权转让通知的格式文本由乙方准备，在甲方认可转让通知格式文本后，甲方可向乙方出具一式三份转让通知，由乙方自行办理公证手续，公证及送达的全部费用由乙方承担。为避免引起歧义，自交割日起，无论上述书面通知是否全部被签收或送达，】一经进行公告通知，甲方的通知义务即被视为已经履行。</w:t>
      </w:r>
    </w:p>
    <w:p w14:paraId="26924156">
      <w:pPr>
        <w:pStyle w:val="32"/>
        <w:numPr>
          <w:ilvl w:val="1"/>
          <w:numId w:val="4"/>
        </w:numPr>
        <w:spacing w:after="240" w:afterLines="100" w:line="300" w:lineRule="auto"/>
        <w:jc w:val="both"/>
        <w:outlineLvl w:val="1"/>
        <w:rPr>
          <w:rFonts w:ascii="Times New Roman"/>
          <w:bCs/>
          <w:color w:val="auto"/>
          <w:kern w:val="2"/>
          <w:sz w:val="23"/>
        </w:rPr>
      </w:pPr>
      <w:r>
        <w:rPr>
          <w:rFonts w:hint="eastAsia" w:ascii="Times New Roman"/>
          <w:bCs/>
          <w:color w:val="auto"/>
          <w:kern w:val="2"/>
          <w:sz w:val="23"/>
        </w:rPr>
        <w:t>自完成转让</w:t>
      </w:r>
      <w:r>
        <w:rPr>
          <w:rFonts w:ascii="Times New Roman"/>
          <w:bCs/>
          <w:color w:val="auto"/>
          <w:kern w:val="2"/>
          <w:sz w:val="23"/>
        </w:rPr>
        <w:t>通知之日起</w:t>
      </w:r>
      <w:r>
        <w:rPr>
          <w:rFonts w:hint="eastAsia" w:ascii="Times New Roman"/>
          <w:bCs/>
          <w:color w:val="auto"/>
          <w:kern w:val="2"/>
          <w:sz w:val="23"/>
        </w:rPr>
        <w:t>，甲方有权拒绝义务人任何与标的资产相关的主动给付、交付，并且不对前述拒绝行为产生或可能产生的对标的资产权利实现的不利后果承担责任。</w:t>
      </w:r>
    </w:p>
    <w:p w14:paraId="4B47B74F">
      <w:pPr>
        <w:pStyle w:val="32"/>
        <w:numPr>
          <w:ilvl w:val="1"/>
          <w:numId w:val="4"/>
        </w:numPr>
        <w:spacing w:after="240" w:afterLines="100" w:line="300" w:lineRule="auto"/>
        <w:jc w:val="both"/>
        <w:outlineLvl w:val="1"/>
        <w:rPr>
          <w:rFonts w:ascii="Times New Roman"/>
          <w:bCs/>
          <w:color w:val="auto"/>
          <w:kern w:val="2"/>
          <w:sz w:val="23"/>
        </w:rPr>
      </w:pPr>
      <w:r>
        <w:rPr>
          <w:rFonts w:hint="eastAsia" w:ascii="Times New Roman"/>
          <w:bCs/>
          <w:color w:val="auto"/>
          <w:kern w:val="2"/>
          <w:sz w:val="23"/>
        </w:rPr>
        <w:t>尽管有第6条和第7条相关约定，甲方不承担实现上述各类变更</w:t>
      </w:r>
      <w:r>
        <w:rPr>
          <w:rFonts w:ascii="Times New Roman"/>
          <w:bCs/>
          <w:color w:val="auto"/>
          <w:kern w:val="2"/>
          <w:sz w:val="23"/>
        </w:rPr>
        <w:t>、</w:t>
      </w:r>
      <w:r>
        <w:rPr>
          <w:rFonts w:hint="eastAsia" w:ascii="Times New Roman"/>
          <w:bCs/>
          <w:color w:val="auto"/>
          <w:kern w:val="2"/>
          <w:sz w:val="23"/>
        </w:rPr>
        <w:t>登记及通知使得乙方获取或完善相关权利的义务，相关任何风险及责任均由乙方自行承担。</w:t>
      </w:r>
    </w:p>
    <w:bookmarkEnd w:id="23"/>
    <w:p w14:paraId="2BA52048">
      <w:pPr>
        <w:pStyle w:val="32"/>
        <w:numPr>
          <w:ilvl w:val="0"/>
          <w:numId w:val="4"/>
        </w:numPr>
        <w:spacing w:after="240" w:afterLines="100" w:line="300" w:lineRule="auto"/>
        <w:jc w:val="both"/>
        <w:outlineLvl w:val="0"/>
        <w:rPr>
          <w:rFonts w:ascii="Times New Roman"/>
          <w:b/>
          <w:bCs/>
          <w:color w:val="auto"/>
          <w:kern w:val="2"/>
          <w:sz w:val="23"/>
          <w:szCs w:val="28"/>
        </w:rPr>
      </w:pPr>
      <w:bookmarkStart w:id="28" w:name="_Toc240895603"/>
      <w:bookmarkStart w:id="29" w:name="_Ref468029302"/>
      <w:r>
        <w:rPr>
          <w:rFonts w:hint="eastAsia" w:ascii="Times New Roman"/>
          <w:b/>
          <w:bCs/>
          <w:color w:val="auto"/>
          <w:kern w:val="2"/>
          <w:sz w:val="23"/>
          <w:szCs w:val="28"/>
        </w:rPr>
        <w:t>税费承担</w:t>
      </w:r>
      <w:bookmarkEnd w:id="28"/>
    </w:p>
    <w:p w14:paraId="18E15E35">
      <w:pPr>
        <w:pStyle w:val="32"/>
        <w:numPr>
          <w:ilvl w:val="1"/>
          <w:numId w:val="4"/>
        </w:numPr>
        <w:spacing w:after="240" w:afterLines="100" w:line="300" w:lineRule="auto"/>
        <w:jc w:val="both"/>
        <w:outlineLvl w:val="1"/>
        <w:rPr>
          <w:rFonts w:ascii="Times New Roman"/>
          <w:bCs/>
          <w:color w:val="auto"/>
          <w:kern w:val="2"/>
          <w:sz w:val="23"/>
        </w:rPr>
      </w:pPr>
      <w:r>
        <w:rPr>
          <w:rFonts w:ascii="Times New Roman"/>
          <w:bCs/>
          <w:color w:val="auto"/>
          <w:kern w:val="2"/>
          <w:sz w:val="23"/>
        </w:rPr>
        <w:t>因本次标的资产的转让而产生的一切税费，除本协议另有</w:t>
      </w:r>
      <w:r>
        <w:rPr>
          <w:rFonts w:hint="eastAsia" w:ascii="Times New Roman"/>
          <w:bCs/>
          <w:color w:val="auto"/>
          <w:kern w:val="2"/>
          <w:sz w:val="23"/>
        </w:rPr>
        <w:t>约</w:t>
      </w:r>
      <w:r>
        <w:rPr>
          <w:rFonts w:ascii="Times New Roman"/>
          <w:bCs/>
          <w:color w:val="auto"/>
          <w:kern w:val="2"/>
          <w:sz w:val="23"/>
        </w:rPr>
        <w:t>定外，按照法律的要求由</w:t>
      </w:r>
      <w:r>
        <w:rPr>
          <w:rFonts w:hint="eastAsia" w:ascii="Times New Roman"/>
          <w:bCs/>
          <w:color w:val="auto"/>
          <w:kern w:val="2"/>
          <w:sz w:val="23"/>
        </w:rPr>
        <w:t>各</w:t>
      </w:r>
      <w:r>
        <w:rPr>
          <w:rFonts w:ascii="Times New Roman"/>
          <w:bCs/>
          <w:color w:val="auto"/>
          <w:kern w:val="2"/>
          <w:sz w:val="23"/>
        </w:rPr>
        <w:t>方各自承担。</w:t>
      </w:r>
    </w:p>
    <w:p w14:paraId="02778046">
      <w:pPr>
        <w:pStyle w:val="32"/>
        <w:numPr>
          <w:ilvl w:val="1"/>
          <w:numId w:val="4"/>
        </w:numPr>
        <w:spacing w:after="240" w:afterLines="100" w:line="300" w:lineRule="auto"/>
        <w:jc w:val="both"/>
        <w:outlineLvl w:val="1"/>
        <w:rPr>
          <w:rFonts w:ascii="Times New Roman"/>
          <w:bCs/>
          <w:color w:val="auto"/>
          <w:kern w:val="2"/>
          <w:sz w:val="23"/>
        </w:rPr>
      </w:pPr>
      <w:r>
        <w:rPr>
          <w:rFonts w:ascii="Times New Roman"/>
          <w:bCs/>
          <w:color w:val="auto"/>
          <w:kern w:val="2"/>
          <w:sz w:val="23"/>
        </w:rPr>
        <w:t>在过渡期内</w:t>
      </w:r>
      <w:r>
        <w:rPr>
          <w:rFonts w:hint="eastAsia" w:ascii="Times New Roman"/>
          <w:bCs/>
          <w:color w:val="auto"/>
          <w:kern w:val="2"/>
          <w:sz w:val="23"/>
        </w:rPr>
        <w:t>，因标的资产及相关权益产生的</w:t>
      </w:r>
      <w:r>
        <w:rPr>
          <w:rFonts w:ascii="Times New Roman"/>
          <w:bCs/>
          <w:color w:val="auto"/>
          <w:kern w:val="2"/>
          <w:sz w:val="23"/>
        </w:rPr>
        <w:t>所有税款、费用</w:t>
      </w:r>
      <w:r>
        <w:rPr>
          <w:rFonts w:hint="eastAsia" w:ascii="Times New Roman"/>
          <w:bCs/>
          <w:color w:val="auto"/>
          <w:kern w:val="2"/>
          <w:sz w:val="23"/>
        </w:rPr>
        <w:t>及其他款项</w:t>
      </w:r>
      <w:r>
        <w:rPr>
          <w:rFonts w:ascii="Times New Roman"/>
          <w:bCs/>
          <w:color w:val="auto"/>
          <w:kern w:val="2"/>
          <w:sz w:val="23"/>
        </w:rPr>
        <w:t>，均应由乙方承担。</w:t>
      </w:r>
    </w:p>
    <w:p w14:paraId="3FA94317">
      <w:pPr>
        <w:pStyle w:val="32"/>
        <w:numPr>
          <w:ilvl w:val="0"/>
          <w:numId w:val="4"/>
        </w:numPr>
        <w:spacing w:after="240" w:afterLines="100" w:line="300" w:lineRule="auto"/>
        <w:jc w:val="both"/>
        <w:outlineLvl w:val="0"/>
        <w:rPr>
          <w:rFonts w:ascii="Times New Roman"/>
          <w:b/>
          <w:bCs/>
          <w:color w:val="auto"/>
          <w:kern w:val="2"/>
          <w:sz w:val="23"/>
          <w:szCs w:val="28"/>
        </w:rPr>
      </w:pPr>
      <w:bookmarkStart w:id="30" w:name="_Toc240895604"/>
      <w:r>
        <w:rPr>
          <w:rFonts w:ascii="Times New Roman"/>
          <w:b/>
          <w:bCs/>
          <w:color w:val="auto"/>
          <w:kern w:val="2"/>
          <w:sz w:val="23"/>
          <w:szCs w:val="28"/>
        </w:rPr>
        <w:t>甲方的声明和保证</w:t>
      </w:r>
      <w:bookmarkEnd w:id="30"/>
    </w:p>
    <w:p w14:paraId="10BB556F">
      <w:pPr>
        <w:pStyle w:val="38"/>
        <w:spacing w:after="240" w:afterLines="100" w:line="300" w:lineRule="auto"/>
        <w:ind w:left="709" w:leftChars="337" w:hanging="1"/>
        <w:jc w:val="both"/>
        <w:rPr>
          <w:rFonts w:ascii="Times New Roman"/>
          <w:kern w:val="2"/>
          <w:sz w:val="23"/>
        </w:rPr>
      </w:pPr>
      <w:r>
        <w:rPr>
          <w:rFonts w:ascii="Times New Roman"/>
          <w:kern w:val="2"/>
          <w:sz w:val="23"/>
        </w:rPr>
        <w:t>就本协议项下的标的资产转让事宜，甲方特此声明</w:t>
      </w:r>
      <w:r>
        <w:rPr>
          <w:rFonts w:hint="eastAsia" w:ascii="Times New Roman"/>
          <w:kern w:val="2"/>
          <w:sz w:val="23"/>
        </w:rPr>
        <w:t>和</w:t>
      </w:r>
      <w:r>
        <w:rPr>
          <w:rFonts w:ascii="Times New Roman"/>
          <w:kern w:val="2"/>
          <w:sz w:val="23"/>
        </w:rPr>
        <w:t>保证：</w:t>
      </w:r>
    </w:p>
    <w:p w14:paraId="50B61058">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甲方具备合法的资格和能力签署本协议，并已采取一切必要的行动以获得签署及履行本协议</w:t>
      </w:r>
      <w:r>
        <w:rPr>
          <w:rFonts w:hint="eastAsia" w:ascii="Times New Roman"/>
          <w:color w:val="auto"/>
          <w:kern w:val="2"/>
          <w:sz w:val="23"/>
        </w:rPr>
        <w:t>的</w:t>
      </w:r>
      <w:r>
        <w:rPr>
          <w:rFonts w:ascii="Times New Roman"/>
          <w:color w:val="auto"/>
          <w:kern w:val="2"/>
          <w:sz w:val="23"/>
        </w:rPr>
        <w:t>授权。</w:t>
      </w:r>
    </w:p>
    <w:p w14:paraId="7E82542A">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甲方签署本协议以及履行本协议项下的义务不违反对其适用的任何现行法律规定，不违反其章程或</w:t>
      </w:r>
      <w:r>
        <w:rPr>
          <w:rFonts w:hint="eastAsia" w:ascii="Times New Roman"/>
          <w:color w:val="auto"/>
          <w:kern w:val="2"/>
          <w:sz w:val="23"/>
        </w:rPr>
        <w:t>章程性</w:t>
      </w:r>
      <w:r>
        <w:rPr>
          <w:rFonts w:ascii="Times New Roman"/>
          <w:color w:val="auto"/>
          <w:kern w:val="2"/>
          <w:sz w:val="23"/>
        </w:rPr>
        <w:t>文件，也不违反由其签署的对其具有约束力的任何文件。</w:t>
      </w:r>
    </w:p>
    <w:p w14:paraId="3FAFC1E4">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甲方保证已将其</w:t>
      </w:r>
      <w:r>
        <w:rPr>
          <w:rFonts w:hint="eastAsia" w:ascii="Times New Roman"/>
          <w:color w:val="auto"/>
          <w:kern w:val="2"/>
          <w:sz w:val="23"/>
        </w:rPr>
        <w:t>持</w:t>
      </w:r>
      <w:r>
        <w:rPr>
          <w:rFonts w:ascii="Times New Roman"/>
          <w:color w:val="auto"/>
          <w:kern w:val="2"/>
          <w:sz w:val="23"/>
        </w:rPr>
        <w:t>有的与标的资产相关的且与乙方行使权利有关的协议和文件纳入资产文件</w:t>
      </w:r>
      <w:r>
        <w:rPr>
          <w:rFonts w:hint="eastAsia" w:ascii="Times New Roman"/>
          <w:color w:val="auto"/>
          <w:kern w:val="2"/>
          <w:sz w:val="23"/>
        </w:rPr>
        <w:t>，</w:t>
      </w:r>
      <w:r>
        <w:rPr>
          <w:rFonts w:ascii="Times New Roman"/>
          <w:color w:val="auto"/>
          <w:kern w:val="2"/>
          <w:sz w:val="23"/>
        </w:rPr>
        <w:t>但</w:t>
      </w:r>
      <w:r>
        <w:rPr>
          <w:rFonts w:hint="eastAsia" w:ascii="Times New Roman"/>
          <w:color w:val="auto"/>
          <w:kern w:val="2"/>
          <w:sz w:val="23"/>
        </w:rPr>
        <w:t>本协议另有约定的除外</w:t>
      </w:r>
      <w:r>
        <w:rPr>
          <w:rFonts w:ascii="Times New Roman"/>
          <w:color w:val="auto"/>
          <w:kern w:val="2"/>
          <w:sz w:val="23"/>
        </w:rPr>
        <w:t>。甲方对资产文件中包括的由前手或任何其他第三方提供给甲方的文件或其它文档及其所引用的事实的真实性、准确性、完整性和合法有效性不作任何</w:t>
      </w:r>
      <w:r>
        <w:rPr>
          <w:rFonts w:hint="eastAsia" w:ascii="Times New Roman"/>
          <w:color w:val="auto"/>
          <w:kern w:val="2"/>
          <w:sz w:val="23"/>
        </w:rPr>
        <w:t>承诺</w:t>
      </w:r>
      <w:r>
        <w:rPr>
          <w:rFonts w:ascii="Times New Roman"/>
          <w:color w:val="auto"/>
          <w:kern w:val="2"/>
          <w:sz w:val="23"/>
        </w:rPr>
        <w:t xml:space="preserve">和保证。 </w:t>
      </w:r>
    </w:p>
    <w:p w14:paraId="6B3E8ABC">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本交易为本协议项下标的资产的现状转让，鉴于乙方已进行了充分的尽职调查，已充分了解标的资产的现状，</w:t>
      </w:r>
      <w:r>
        <w:rPr>
          <w:rFonts w:hint="eastAsia" w:ascii="Times New Roman"/>
          <w:color w:val="auto"/>
          <w:kern w:val="2"/>
          <w:sz w:val="23"/>
        </w:rPr>
        <w:t>并已独立评估基准日后标的资产变化的相关风险，</w:t>
      </w:r>
      <w:r>
        <w:rPr>
          <w:rFonts w:ascii="Times New Roman"/>
          <w:color w:val="auto"/>
          <w:kern w:val="2"/>
          <w:sz w:val="23"/>
        </w:rPr>
        <w:t>且标的资产为不良资产，甲方</w:t>
      </w:r>
      <w:r>
        <w:rPr>
          <w:rFonts w:hint="eastAsia" w:ascii="Times New Roman"/>
          <w:color w:val="auto"/>
          <w:kern w:val="2"/>
          <w:sz w:val="23"/>
        </w:rPr>
        <w:t>已在第3条中披露瑕疵及风险。乙方确认，甲方</w:t>
      </w:r>
      <w:r>
        <w:rPr>
          <w:rFonts w:ascii="Times New Roman"/>
          <w:color w:val="auto"/>
          <w:kern w:val="2"/>
          <w:sz w:val="23"/>
        </w:rPr>
        <w:t>对所转让的标的资产的事实状况</w:t>
      </w:r>
      <w:r>
        <w:rPr>
          <w:rFonts w:hint="eastAsia" w:ascii="Times New Roman"/>
          <w:color w:val="auto"/>
          <w:kern w:val="2"/>
          <w:sz w:val="23"/>
        </w:rPr>
        <w:t>、</w:t>
      </w:r>
      <w:r>
        <w:rPr>
          <w:rFonts w:ascii="Times New Roman"/>
          <w:color w:val="auto"/>
          <w:kern w:val="2"/>
          <w:sz w:val="23"/>
        </w:rPr>
        <w:t>法律状况</w:t>
      </w:r>
      <w:r>
        <w:rPr>
          <w:rFonts w:hint="eastAsia" w:ascii="Times New Roman"/>
          <w:color w:val="auto"/>
          <w:kern w:val="2"/>
          <w:sz w:val="23"/>
        </w:rPr>
        <w:t>、瑕疵及风险</w:t>
      </w:r>
      <w:r>
        <w:rPr>
          <w:rFonts w:ascii="Times New Roman"/>
          <w:color w:val="auto"/>
          <w:kern w:val="2"/>
          <w:sz w:val="23"/>
        </w:rPr>
        <w:t>不承担任何责任。</w:t>
      </w:r>
    </w:p>
    <w:bookmarkEnd w:id="29"/>
    <w:p w14:paraId="4F00A683">
      <w:pPr>
        <w:pStyle w:val="32"/>
        <w:numPr>
          <w:ilvl w:val="0"/>
          <w:numId w:val="4"/>
        </w:numPr>
        <w:spacing w:after="240" w:afterLines="100" w:line="300" w:lineRule="auto"/>
        <w:jc w:val="both"/>
        <w:outlineLvl w:val="0"/>
        <w:rPr>
          <w:rFonts w:ascii="Times New Roman"/>
          <w:b/>
          <w:bCs/>
          <w:color w:val="auto"/>
          <w:kern w:val="2"/>
          <w:sz w:val="23"/>
          <w:szCs w:val="28"/>
        </w:rPr>
      </w:pPr>
      <w:bookmarkStart w:id="31" w:name="_Toc240895605"/>
      <w:bookmarkStart w:id="32" w:name="_Toc467844816"/>
      <w:r>
        <w:rPr>
          <w:rFonts w:ascii="Times New Roman"/>
          <w:b/>
          <w:bCs/>
          <w:color w:val="auto"/>
          <w:kern w:val="2"/>
          <w:sz w:val="23"/>
          <w:szCs w:val="28"/>
        </w:rPr>
        <w:t>乙方的声明</w:t>
      </w:r>
      <w:r>
        <w:rPr>
          <w:rFonts w:hint="eastAsia" w:ascii="Times New Roman"/>
          <w:b/>
          <w:bCs/>
          <w:color w:val="auto"/>
          <w:kern w:val="2"/>
          <w:sz w:val="23"/>
          <w:szCs w:val="28"/>
        </w:rPr>
        <w:t>和</w:t>
      </w:r>
      <w:r>
        <w:rPr>
          <w:rFonts w:ascii="Times New Roman"/>
          <w:b/>
          <w:bCs/>
          <w:color w:val="auto"/>
          <w:kern w:val="2"/>
          <w:sz w:val="23"/>
          <w:szCs w:val="28"/>
        </w:rPr>
        <w:t>保证</w:t>
      </w:r>
      <w:bookmarkEnd w:id="31"/>
      <w:bookmarkEnd w:id="32"/>
    </w:p>
    <w:p w14:paraId="2095AB64">
      <w:pPr>
        <w:pStyle w:val="38"/>
        <w:spacing w:after="240" w:afterLines="100" w:line="300" w:lineRule="auto"/>
        <w:ind w:left="709" w:leftChars="337" w:hanging="1"/>
        <w:jc w:val="both"/>
        <w:rPr>
          <w:rFonts w:ascii="Times New Roman"/>
          <w:kern w:val="2"/>
          <w:sz w:val="23"/>
        </w:rPr>
      </w:pPr>
      <w:r>
        <w:rPr>
          <w:rFonts w:ascii="Times New Roman"/>
          <w:kern w:val="2"/>
          <w:sz w:val="23"/>
        </w:rPr>
        <w:t>就本协议项下的标的资产转让事宜，乙方特此声明</w:t>
      </w:r>
      <w:r>
        <w:rPr>
          <w:rFonts w:hint="eastAsia" w:ascii="Times New Roman"/>
          <w:kern w:val="2"/>
          <w:sz w:val="23"/>
        </w:rPr>
        <w:t>和</w:t>
      </w:r>
      <w:r>
        <w:rPr>
          <w:rFonts w:ascii="Times New Roman"/>
          <w:kern w:val="2"/>
          <w:sz w:val="23"/>
        </w:rPr>
        <w:t>保证：</w:t>
      </w:r>
    </w:p>
    <w:p w14:paraId="799726FE">
      <w:pPr>
        <w:pStyle w:val="32"/>
        <w:numPr>
          <w:ilvl w:val="1"/>
          <w:numId w:val="4"/>
        </w:numPr>
        <w:spacing w:after="240" w:afterLines="100" w:line="300" w:lineRule="auto"/>
        <w:jc w:val="both"/>
        <w:outlineLvl w:val="1"/>
        <w:rPr>
          <w:sz w:val="23"/>
        </w:rPr>
      </w:pPr>
      <w:r>
        <w:rPr>
          <w:rFonts w:hint="eastAsia" w:ascii="Times New Roman"/>
          <w:color w:val="auto"/>
          <w:sz w:val="23"/>
        </w:rPr>
        <w:t>乙方</w:t>
      </w:r>
      <w:r>
        <w:rPr>
          <w:rFonts w:hint="eastAsia"/>
          <w:sz w:val="23"/>
        </w:rPr>
        <w:t>系一家根据中国法律正式成立且有效存续的</w:t>
      </w:r>
      <w:r>
        <w:rPr>
          <w:rFonts w:hint="eastAsia"/>
          <w:sz w:val="23"/>
          <w:u w:val="single"/>
        </w:rPr>
        <w:t>【有限责任公司</w:t>
      </w:r>
      <w:r>
        <w:rPr>
          <w:rFonts w:hint="eastAsia"/>
          <w:sz w:val="23"/>
        </w:rPr>
        <w:t>】，并不存在法律及政策规定的禁止受让金融不良资产的情形，有权签订和履行本协议；乙方为确保本协议的合法性、有效性和可执行性，已履行必需的一切内部及外部批准手续、备案手续并取得一切必要的批准、备案文件。乙方保证其为自甲方受让标的资产及签署本协议而向甲方提供的所有证明、文件、资料和信息，均在提供当日及有效期内是真实、准确和完整的，该等证明、文件、资料和信息所基于的事实基础在提供当日及有效期内亦是真实、合法的。</w:t>
      </w:r>
    </w:p>
    <w:p w14:paraId="213D9135">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乙方签署和履行本协议不违反对其适用的任何现行法律规定，不违反其章程或其他</w:t>
      </w:r>
      <w:r>
        <w:rPr>
          <w:rFonts w:hint="eastAsia" w:ascii="Times New Roman"/>
          <w:color w:val="auto"/>
          <w:sz w:val="23"/>
        </w:rPr>
        <w:t>章程性</w:t>
      </w:r>
      <w:r>
        <w:rPr>
          <w:rFonts w:ascii="Times New Roman"/>
          <w:color w:val="auto"/>
          <w:sz w:val="23"/>
        </w:rPr>
        <w:t>文件，也不违反由其签署的任何文件和对其具有约束力的任何文件；不与其章程或其它</w:t>
      </w:r>
      <w:r>
        <w:rPr>
          <w:rFonts w:hint="eastAsia" w:ascii="Times New Roman"/>
          <w:color w:val="auto"/>
          <w:sz w:val="23"/>
        </w:rPr>
        <w:t>章程</w:t>
      </w:r>
      <w:r>
        <w:rPr>
          <w:rFonts w:ascii="Times New Roman"/>
          <w:color w:val="auto"/>
          <w:sz w:val="23"/>
        </w:rPr>
        <w:t>性文件存在冲突，亦不与由其签署的任何已生效或者将对其生效的法律文件规定的义务相冲突；并且不存在任何会影响其履行本协议项下义务的诉讼、仲裁或其他法律</w:t>
      </w:r>
      <w:r>
        <w:rPr>
          <w:rFonts w:hint="eastAsia" w:ascii="Times New Roman"/>
          <w:color w:val="auto"/>
          <w:sz w:val="23"/>
        </w:rPr>
        <w:t>程序</w:t>
      </w:r>
      <w:r>
        <w:rPr>
          <w:rFonts w:ascii="Times New Roman"/>
          <w:color w:val="auto"/>
          <w:sz w:val="23"/>
        </w:rPr>
        <w:t>。</w:t>
      </w:r>
    </w:p>
    <w:p w14:paraId="6DB71C23">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乙方对于甲方在第</w:t>
      </w:r>
      <w:r>
        <w:rPr>
          <w:rFonts w:hint="eastAsia" w:ascii="Times New Roman"/>
          <w:color w:val="auto"/>
          <w:sz w:val="23"/>
        </w:rPr>
        <w:t>9</w:t>
      </w:r>
      <w:r>
        <w:rPr>
          <w:rFonts w:ascii="Times New Roman"/>
          <w:color w:val="auto"/>
          <w:sz w:val="23"/>
        </w:rPr>
        <w:t>条项下所作出的声明表示完全接受、同意和认可。为签订本协议，乙方已对标的资产做了审慎、独立、全面的调查，在此基础上，乙方对是否受让标的资产已自主作出判断和决定，并同意签署本协议，愿意自行承担因此可能发生的一切风险和损失，且不</w:t>
      </w:r>
      <w:r>
        <w:rPr>
          <w:rFonts w:hint="eastAsia" w:ascii="Times New Roman"/>
          <w:color w:val="auto"/>
          <w:sz w:val="23"/>
        </w:rPr>
        <w:t>追索</w:t>
      </w:r>
      <w:r>
        <w:rPr>
          <w:rFonts w:ascii="Times New Roman"/>
          <w:color w:val="auto"/>
          <w:sz w:val="23"/>
        </w:rPr>
        <w:t>甲方</w:t>
      </w:r>
      <w:r>
        <w:rPr>
          <w:rFonts w:hint="eastAsia" w:ascii="Times New Roman"/>
          <w:color w:val="auto"/>
          <w:sz w:val="23"/>
        </w:rPr>
        <w:t>及/或前手</w:t>
      </w:r>
      <w:r>
        <w:rPr>
          <w:rFonts w:ascii="Times New Roman"/>
          <w:color w:val="auto"/>
          <w:sz w:val="23"/>
        </w:rPr>
        <w:t>。乙方的判断不依赖于甲方的任何介绍、陈述、声明、保证或推荐。本协议之效力亦不会因为标的资产及/或资产文件存在或可能存在的</w:t>
      </w:r>
      <w:r>
        <w:rPr>
          <w:rFonts w:hint="eastAsia" w:ascii="Times New Roman"/>
          <w:color w:val="auto"/>
          <w:sz w:val="23"/>
        </w:rPr>
        <w:t>风险或瑕疵</w:t>
      </w:r>
      <w:r>
        <w:rPr>
          <w:rFonts w:ascii="Times New Roman"/>
          <w:color w:val="auto"/>
          <w:sz w:val="23"/>
        </w:rPr>
        <w:t>而受到影响。</w:t>
      </w:r>
    </w:p>
    <w:p w14:paraId="594C838C">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乙方向甲方所支付的任何</w:t>
      </w:r>
      <w:r>
        <w:rPr>
          <w:rFonts w:hint="eastAsia" w:ascii="Times New Roman"/>
          <w:color w:val="auto"/>
          <w:sz w:val="23"/>
        </w:rPr>
        <w:t>款项</w:t>
      </w:r>
      <w:r>
        <w:rPr>
          <w:rFonts w:ascii="Times New Roman"/>
          <w:color w:val="auto"/>
          <w:sz w:val="23"/>
        </w:rPr>
        <w:t>，包括但不限于转让价款，均为乙方合法所有的资金</w:t>
      </w:r>
      <w:r>
        <w:rPr>
          <w:rFonts w:hint="eastAsia" w:ascii="Times New Roman"/>
          <w:color w:val="auto"/>
          <w:sz w:val="23"/>
        </w:rPr>
        <w:t>及</w:t>
      </w:r>
      <w:r>
        <w:rPr>
          <w:rFonts w:ascii="Times New Roman"/>
          <w:color w:val="auto"/>
          <w:sz w:val="23"/>
        </w:rPr>
        <w:t>/或合法筹措的资金。</w:t>
      </w:r>
      <w:r>
        <w:rPr>
          <w:rFonts w:hint="eastAsia" w:ascii="Times New Roman"/>
          <w:color w:val="auto"/>
          <w:sz w:val="23"/>
        </w:rPr>
        <w:t>乙方向甲方交纳的任何款项的管存、转化、退还（含解除情形）均不计利息。</w:t>
      </w:r>
    </w:p>
    <w:p w14:paraId="201F37AE">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w:t>
      </w:r>
      <w:r>
        <w:rPr>
          <w:rFonts w:hint="eastAsia" w:ascii="Times New Roman"/>
          <w:color w:val="auto"/>
          <w:sz w:val="23"/>
        </w:rPr>
        <w:t>声明</w:t>
      </w:r>
      <w:r>
        <w:rPr>
          <w:rFonts w:ascii="Times New Roman"/>
          <w:color w:val="auto"/>
          <w:sz w:val="23"/>
        </w:rPr>
        <w:t>，如因其</w:t>
      </w:r>
      <w:r>
        <w:rPr>
          <w:rFonts w:hint="eastAsia" w:ascii="Times New Roman"/>
          <w:color w:val="auto"/>
          <w:sz w:val="23"/>
        </w:rPr>
        <w:t>原因导致本协议效力受到影响</w:t>
      </w:r>
      <w:r>
        <w:rPr>
          <w:rFonts w:ascii="Times New Roman"/>
          <w:color w:val="auto"/>
          <w:sz w:val="23"/>
        </w:rPr>
        <w:t>，甲方因此发生的一切损失均应由乙方承担，甲方</w:t>
      </w:r>
      <w:r>
        <w:rPr>
          <w:rFonts w:hint="eastAsia" w:ascii="Times New Roman"/>
          <w:color w:val="auto"/>
          <w:sz w:val="23"/>
        </w:rPr>
        <w:t>有权从乙方支付的任何款项中</w:t>
      </w:r>
      <w:r>
        <w:rPr>
          <w:rFonts w:ascii="Times New Roman"/>
          <w:color w:val="auto"/>
          <w:sz w:val="23"/>
        </w:rPr>
        <w:t>扣除所受损失，并且乙方无权要求甲方</w:t>
      </w:r>
      <w:r>
        <w:rPr>
          <w:rFonts w:hint="eastAsia" w:ascii="Times New Roman"/>
          <w:color w:val="auto"/>
          <w:sz w:val="23"/>
        </w:rPr>
        <w:t>支付</w:t>
      </w:r>
      <w:r>
        <w:rPr>
          <w:rFonts w:ascii="Times New Roman"/>
          <w:color w:val="auto"/>
          <w:sz w:val="23"/>
        </w:rPr>
        <w:t>其实际支付的</w:t>
      </w:r>
      <w:r>
        <w:rPr>
          <w:rFonts w:hint="eastAsia" w:ascii="Times New Roman"/>
          <w:color w:val="auto"/>
          <w:sz w:val="23"/>
        </w:rPr>
        <w:t>任何款项</w:t>
      </w:r>
      <w:r>
        <w:rPr>
          <w:rFonts w:ascii="Times New Roman"/>
          <w:color w:val="auto"/>
          <w:sz w:val="23"/>
        </w:rPr>
        <w:t>之利息。</w:t>
      </w:r>
    </w:p>
    <w:p w14:paraId="1478FE64">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w:t>
      </w:r>
      <w:r>
        <w:rPr>
          <w:rFonts w:hint="eastAsia" w:ascii="Times New Roman"/>
          <w:color w:val="auto"/>
          <w:sz w:val="23"/>
        </w:rPr>
        <w:t>确认</w:t>
      </w:r>
      <w:r>
        <w:rPr>
          <w:rFonts w:ascii="Times New Roman"/>
          <w:color w:val="auto"/>
          <w:sz w:val="23"/>
        </w:rPr>
        <w:t>，甲方未就本协议项下的任何标的资产的性质、</w:t>
      </w:r>
      <w:r>
        <w:rPr>
          <w:rFonts w:hint="eastAsia" w:ascii="Times New Roman"/>
          <w:color w:val="auto"/>
          <w:sz w:val="23"/>
        </w:rPr>
        <w:t>状况、</w:t>
      </w:r>
      <w:r>
        <w:rPr>
          <w:rFonts w:ascii="Times New Roman"/>
          <w:color w:val="auto"/>
          <w:sz w:val="23"/>
        </w:rPr>
        <w:t>可回收性</w:t>
      </w:r>
      <w:r>
        <w:rPr>
          <w:rFonts w:hint="eastAsia" w:ascii="Times New Roman"/>
          <w:color w:val="auto"/>
          <w:sz w:val="23"/>
        </w:rPr>
        <w:t>或其</w:t>
      </w:r>
      <w:r>
        <w:rPr>
          <w:rFonts w:ascii="Times New Roman"/>
          <w:color w:val="auto"/>
          <w:sz w:val="23"/>
        </w:rPr>
        <w:t>预期收益做出任何明示或暗示的声明和保证。本协议一经签署</w:t>
      </w:r>
      <w:r>
        <w:rPr>
          <w:rFonts w:hint="eastAsia" w:ascii="Times New Roman"/>
          <w:color w:val="auto"/>
          <w:sz w:val="23"/>
        </w:rPr>
        <w:t>生效</w:t>
      </w:r>
      <w:r>
        <w:rPr>
          <w:rFonts w:ascii="Times New Roman"/>
          <w:color w:val="auto"/>
          <w:sz w:val="23"/>
        </w:rPr>
        <w:t>，乙方即放弃以误解、欺诈、显失公平或其他类似理由主张变更、撤销本协议或申请宣布本协议无效的权利，并且一并放弃任何可能影响本协议效力的其他权利，包括在所受让的标的资产不能获得全部或部分清偿时，</w:t>
      </w:r>
      <w:r>
        <w:rPr>
          <w:rFonts w:hint="eastAsia" w:ascii="Times New Roman"/>
          <w:color w:val="auto"/>
          <w:sz w:val="23"/>
        </w:rPr>
        <w:t>对</w:t>
      </w:r>
      <w:r>
        <w:rPr>
          <w:rFonts w:ascii="Times New Roman"/>
          <w:color w:val="auto"/>
          <w:sz w:val="23"/>
        </w:rPr>
        <w:t>甲方及/或前手</w:t>
      </w:r>
      <w:r>
        <w:rPr>
          <w:rFonts w:hint="eastAsia" w:ascii="Times New Roman"/>
          <w:color w:val="auto"/>
          <w:sz w:val="23"/>
        </w:rPr>
        <w:t>的</w:t>
      </w:r>
      <w:r>
        <w:rPr>
          <w:rFonts w:ascii="Times New Roman"/>
          <w:color w:val="auto"/>
          <w:sz w:val="23"/>
        </w:rPr>
        <w:t>追索权。</w:t>
      </w:r>
    </w:p>
    <w:p w14:paraId="2FB76FEF">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w:t>
      </w:r>
      <w:r>
        <w:rPr>
          <w:rFonts w:hint="eastAsia" w:ascii="Times New Roman"/>
          <w:color w:val="auto"/>
          <w:sz w:val="23"/>
        </w:rPr>
        <w:t>声明</w:t>
      </w:r>
      <w:r>
        <w:rPr>
          <w:rFonts w:ascii="Times New Roman"/>
          <w:color w:val="auto"/>
          <w:sz w:val="23"/>
        </w:rPr>
        <w:t>，乙方就标的资产的任何部分或者全部无权要求甲方回购、剔除或者替换，对甲方无任何追索权。乙方无权就标的资产向甲方提出调整、退还、替换、相应减少转让价款、不支付或延迟支付转让价款、终止或暂缓履行本协议及/或任何其他类似请求。</w:t>
      </w:r>
      <w:r>
        <w:rPr>
          <w:rFonts w:hint="eastAsia" w:hAnsi="宋体"/>
          <w:color w:val="auto"/>
          <w:sz w:val="23"/>
        </w:rPr>
        <w:t>如</w:t>
      </w:r>
      <w:r>
        <w:rPr>
          <w:rFonts w:hAnsi="宋体"/>
          <w:color w:val="auto"/>
          <w:sz w:val="23"/>
        </w:rPr>
        <w:t>果根据法律或中国政府有权</w:t>
      </w:r>
      <w:r>
        <w:rPr>
          <w:rFonts w:hint="eastAsia" w:hAnsi="宋体"/>
          <w:color w:val="auto"/>
          <w:sz w:val="23"/>
        </w:rPr>
        <w:t>机关</w:t>
      </w:r>
      <w:r>
        <w:rPr>
          <w:rFonts w:hAnsi="宋体"/>
          <w:color w:val="auto"/>
          <w:sz w:val="23"/>
        </w:rPr>
        <w:t>或甲方的监管机构</w:t>
      </w:r>
      <w:r>
        <w:rPr>
          <w:rFonts w:hint="eastAsia" w:hAnsi="宋体"/>
          <w:color w:val="auto"/>
          <w:sz w:val="23"/>
        </w:rPr>
        <w:t>的</w:t>
      </w:r>
      <w:r>
        <w:rPr>
          <w:rFonts w:hAnsi="宋体"/>
          <w:color w:val="auto"/>
          <w:sz w:val="23"/>
        </w:rPr>
        <w:t>要求，在本协议生效之后</w:t>
      </w:r>
      <w:r>
        <w:rPr>
          <w:rFonts w:hint="eastAsia" w:hAnsi="宋体"/>
          <w:color w:val="auto"/>
          <w:sz w:val="23"/>
        </w:rPr>
        <w:t>发现</w:t>
      </w:r>
      <w:r>
        <w:rPr>
          <w:rFonts w:hAnsi="宋体"/>
          <w:color w:val="auto"/>
          <w:sz w:val="23"/>
        </w:rPr>
        <w:t>或出现</w:t>
      </w:r>
      <w:r>
        <w:rPr>
          <w:rFonts w:hint="eastAsia" w:hAnsi="宋体"/>
          <w:color w:val="auto"/>
          <w:sz w:val="23"/>
        </w:rPr>
        <w:t>标的资产</w:t>
      </w:r>
      <w:r>
        <w:rPr>
          <w:rFonts w:hAnsi="宋体"/>
          <w:color w:val="auto"/>
          <w:sz w:val="23"/>
        </w:rPr>
        <w:t>中有禁止</w:t>
      </w:r>
      <w:r>
        <w:rPr>
          <w:rFonts w:hint="eastAsia" w:hAnsi="宋体"/>
          <w:color w:val="auto"/>
          <w:sz w:val="23"/>
        </w:rPr>
        <w:t>、</w:t>
      </w:r>
      <w:r>
        <w:rPr>
          <w:rFonts w:hAnsi="宋体"/>
          <w:color w:val="auto"/>
          <w:sz w:val="23"/>
        </w:rPr>
        <w:t>限制或不宜转让</w:t>
      </w:r>
      <w:r>
        <w:rPr>
          <w:rFonts w:hint="eastAsia" w:hAnsi="宋体"/>
          <w:color w:val="auto"/>
          <w:sz w:val="23"/>
        </w:rPr>
        <w:t>的或被监管机构要求解除的</w:t>
      </w:r>
      <w:r>
        <w:rPr>
          <w:rFonts w:hAnsi="宋体"/>
          <w:color w:val="auto"/>
          <w:sz w:val="23"/>
        </w:rPr>
        <w:t>，乙方</w:t>
      </w:r>
      <w:r>
        <w:rPr>
          <w:rFonts w:hint="eastAsia" w:hAnsi="宋体"/>
          <w:color w:val="auto"/>
          <w:sz w:val="23"/>
        </w:rPr>
        <w:t>确认甲方有权</w:t>
      </w:r>
      <w:r>
        <w:rPr>
          <w:rFonts w:hAnsi="宋体"/>
          <w:color w:val="auto"/>
          <w:sz w:val="23"/>
        </w:rPr>
        <w:t>变更或解除本协议</w:t>
      </w:r>
      <w:r>
        <w:rPr>
          <w:rFonts w:hint="eastAsia" w:hAnsi="宋体"/>
          <w:color w:val="auto"/>
          <w:sz w:val="23"/>
        </w:rPr>
        <w:t>，乙方承诺对变更或解除协议事宜按照甲方要求予以配合</w:t>
      </w:r>
      <w:r>
        <w:rPr>
          <w:rFonts w:hAnsi="宋体"/>
          <w:color w:val="auto"/>
          <w:sz w:val="23"/>
        </w:rPr>
        <w:t>。</w:t>
      </w:r>
    </w:p>
    <w:p w14:paraId="48B8C105">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w:t>
      </w:r>
      <w:r>
        <w:rPr>
          <w:rFonts w:hint="eastAsia" w:ascii="Times New Roman"/>
          <w:color w:val="auto"/>
          <w:sz w:val="23"/>
        </w:rPr>
        <w:t>确认</w:t>
      </w:r>
      <w:r>
        <w:rPr>
          <w:rFonts w:ascii="Times New Roman"/>
          <w:color w:val="auto"/>
          <w:sz w:val="23"/>
        </w:rPr>
        <w:t>，甲方未对下列内容的真实性、准确性、完整性和合法有效性做出任何声明、保证与承诺：（1）由义务人、前手或其他任何第三方提供给甲方的或非由甲方准备和制作的文件和其他资料及其所陈述的事实；（2）为供乙方参考之目的而由甲方准备和提供的有关标的资产的资产文件清单、任何尽职调查信息及/或法律意见书（如有）；（3）资产文件中关于标的资产的贷款分类划分的内容；（4）除上述（1）</w:t>
      </w:r>
      <w:r>
        <w:rPr>
          <w:rFonts w:hint="eastAsia" w:ascii="Times New Roman"/>
          <w:color w:val="auto"/>
          <w:sz w:val="23"/>
        </w:rPr>
        <w:t>至</w:t>
      </w:r>
      <w:r>
        <w:rPr>
          <w:rFonts w:ascii="Times New Roman"/>
          <w:color w:val="auto"/>
          <w:sz w:val="23"/>
        </w:rPr>
        <w:t>（3）项以外的，与标的资产相关的甲方披露的任何其它信息。乙方进一步确认，本协议一经签署，乙方即不得以转让标的资产虚假</w:t>
      </w:r>
      <w:r>
        <w:rPr>
          <w:rFonts w:hint="eastAsia" w:ascii="Times New Roman"/>
          <w:color w:val="auto"/>
          <w:sz w:val="23"/>
        </w:rPr>
        <w:t>或存在瑕疵</w:t>
      </w:r>
      <w:r>
        <w:rPr>
          <w:rFonts w:ascii="Times New Roman"/>
          <w:color w:val="auto"/>
          <w:sz w:val="23"/>
        </w:rPr>
        <w:t>为由主张本协议全部或部分无效或申请撤销，亦不得向甲方及/或前手主张赔偿责任。</w:t>
      </w:r>
    </w:p>
    <w:p w14:paraId="59AF9417">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w:t>
      </w:r>
      <w:r>
        <w:rPr>
          <w:rFonts w:hint="eastAsia" w:ascii="Times New Roman"/>
          <w:color w:val="auto"/>
          <w:sz w:val="23"/>
        </w:rPr>
        <w:t>确认</w:t>
      </w:r>
      <w:r>
        <w:rPr>
          <w:rFonts w:ascii="Times New Roman"/>
          <w:color w:val="auto"/>
          <w:sz w:val="23"/>
        </w:rPr>
        <w:t>，对</w:t>
      </w:r>
      <w:r>
        <w:rPr>
          <w:rFonts w:hint="eastAsia" w:ascii="Times New Roman"/>
          <w:color w:val="auto"/>
          <w:sz w:val="23"/>
        </w:rPr>
        <w:t>包括</w:t>
      </w:r>
      <w:r>
        <w:rPr>
          <w:rFonts w:ascii="Times New Roman"/>
          <w:color w:val="auto"/>
          <w:sz w:val="23"/>
        </w:rPr>
        <w:t>抵债资产</w:t>
      </w:r>
      <w:r>
        <w:rPr>
          <w:rFonts w:hint="eastAsia" w:ascii="Times New Roman"/>
          <w:color w:val="auto"/>
          <w:sz w:val="23"/>
        </w:rPr>
        <w:t>、其他资产在内的标的资产</w:t>
      </w:r>
      <w:r>
        <w:rPr>
          <w:rFonts w:ascii="Times New Roman"/>
          <w:color w:val="auto"/>
          <w:sz w:val="23"/>
        </w:rPr>
        <w:t>，甲方仅有义务按本协议约定交付其所掌握的该等资产的资料，但</w:t>
      </w:r>
      <w:r>
        <w:rPr>
          <w:rFonts w:hint="eastAsia" w:ascii="Times New Roman"/>
          <w:color w:val="auto"/>
          <w:sz w:val="23"/>
        </w:rPr>
        <w:t>对该等资产的过户登记等相关权利完善手续的办理及办理结果不承担任何责任，且对</w:t>
      </w:r>
      <w:r>
        <w:rPr>
          <w:rFonts w:ascii="Times New Roman"/>
          <w:color w:val="auto"/>
          <w:sz w:val="23"/>
        </w:rPr>
        <w:t>该等资产毁损、灭失、</w:t>
      </w:r>
      <w:r>
        <w:rPr>
          <w:rFonts w:hint="eastAsia" w:ascii="Times New Roman"/>
          <w:color w:val="auto"/>
          <w:sz w:val="23"/>
        </w:rPr>
        <w:t>被</w:t>
      </w:r>
      <w:r>
        <w:rPr>
          <w:rFonts w:ascii="Times New Roman"/>
          <w:color w:val="auto"/>
          <w:sz w:val="23"/>
        </w:rPr>
        <w:t>征收、</w:t>
      </w:r>
      <w:r>
        <w:rPr>
          <w:rFonts w:hint="eastAsia" w:ascii="Times New Roman"/>
          <w:color w:val="auto"/>
          <w:sz w:val="23"/>
        </w:rPr>
        <w:t>被</w:t>
      </w:r>
      <w:r>
        <w:rPr>
          <w:rFonts w:ascii="Times New Roman"/>
          <w:color w:val="auto"/>
          <w:sz w:val="23"/>
        </w:rPr>
        <w:t>征用</w:t>
      </w:r>
      <w:r>
        <w:rPr>
          <w:rFonts w:hint="eastAsia" w:ascii="Times New Roman"/>
          <w:color w:val="auto"/>
          <w:sz w:val="23"/>
        </w:rPr>
        <w:t>、无法最终实现</w:t>
      </w:r>
      <w:r>
        <w:rPr>
          <w:rFonts w:ascii="Times New Roman"/>
          <w:color w:val="auto"/>
          <w:sz w:val="23"/>
        </w:rPr>
        <w:t>等风险</w:t>
      </w:r>
      <w:r>
        <w:rPr>
          <w:rFonts w:hint="eastAsia" w:ascii="Times New Roman"/>
          <w:color w:val="auto"/>
          <w:sz w:val="23"/>
        </w:rPr>
        <w:t>不承担任何责任，前述手续由乙方负责办理，前述风险由</w:t>
      </w:r>
      <w:r>
        <w:rPr>
          <w:rFonts w:ascii="Times New Roman"/>
          <w:color w:val="auto"/>
          <w:sz w:val="23"/>
        </w:rPr>
        <w:t>乙方</w:t>
      </w:r>
      <w:r>
        <w:rPr>
          <w:rFonts w:hint="eastAsia" w:ascii="Times New Roman"/>
          <w:color w:val="auto"/>
          <w:sz w:val="23"/>
        </w:rPr>
        <w:t>自行承担</w:t>
      </w:r>
      <w:r>
        <w:rPr>
          <w:rFonts w:ascii="Times New Roman"/>
          <w:color w:val="auto"/>
          <w:sz w:val="23"/>
        </w:rPr>
        <w:t>。</w:t>
      </w:r>
    </w:p>
    <w:p w14:paraId="5472FE37">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乙方不因影响标的资产的任何事由，包括但不限于</w:t>
      </w:r>
      <w:r>
        <w:rPr>
          <w:rFonts w:hint="eastAsia" w:ascii="Times New Roman"/>
          <w:color w:val="auto"/>
          <w:sz w:val="23"/>
        </w:rPr>
        <w:t>标的</w:t>
      </w:r>
      <w:r>
        <w:rPr>
          <w:rFonts w:ascii="Times New Roman"/>
          <w:color w:val="auto"/>
          <w:sz w:val="23"/>
        </w:rPr>
        <w:t>资产发生变化、义务人的主体状态发生变化、义务人现时及将来无偿付能力、发生</w:t>
      </w:r>
      <w:r>
        <w:rPr>
          <w:rFonts w:hint="eastAsia" w:ascii="Times New Roman"/>
          <w:color w:val="auto"/>
          <w:sz w:val="23"/>
        </w:rPr>
        <w:t>意外事件、</w:t>
      </w:r>
      <w:r>
        <w:rPr>
          <w:rFonts w:ascii="Times New Roman"/>
          <w:color w:val="auto"/>
          <w:sz w:val="23"/>
        </w:rPr>
        <w:t>不可抗力或者国家相关政策的不利变化等，向甲方及/或前手行使</w:t>
      </w:r>
      <w:r>
        <w:rPr>
          <w:rFonts w:hint="eastAsia" w:ascii="Times New Roman"/>
          <w:color w:val="auto"/>
          <w:sz w:val="23"/>
        </w:rPr>
        <w:t>追索权</w:t>
      </w:r>
      <w:r>
        <w:rPr>
          <w:rFonts w:ascii="Times New Roman"/>
          <w:color w:val="auto"/>
          <w:sz w:val="23"/>
        </w:rPr>
        <w:t>，</w:t>
      </w:r>
      <w:r>
        <w:rPr>
          <w:rFonts w:hint="eastAsia" w:ascii="Times New Roman"/>
          <w:color w:val="auto"/>
          <w:sz w:val="23"/>
        </w:rPr>
        <w:t>即</w:t>
      </w:r>
      <w:r>
        <w:rPr>
          <w:rFonts w:ascii="Times New Roman"/>
          <w:color w:val="auto"/>
          <w:sz w:val="23"/>
        </w:rPr>
        <w:t>乙方亦承诺不可</w:t>
      </w:r>
      <w:r>
        <w:rPr>
          <w:rFonts w:hint="eastAsia" w:ascii="Times New Roman"/>
          <w:color w:val="auto"/>
          <w:sz w:val="23"/>
        </w:rPr>
        <w:t>撤销地</w:t>
      </w:r>
      <w:r>
        <w:rPr>
          <w:rFonts w:ascii="Times New Roman"/>
          <w:color w:val="auto"/>
          <w:sz w:val="23"/>
        </w:rPr>
        <w:t>放弃追索权。乙方承诺，若向第三方转让全部或部分标的资产，将通过对第三方有法律约束力的方式，要求该第三方做出与本款约定相同的承诺。乙方承诺并确认，在交割完成的前提下，若因任何除甲方和乙方之外的第三方就任何标的资产向甲方及/或前手提出任何权利主张，致使甲方及/或前手承担责任或损失</w:t>
      </w:r>
      <w:r>
        <w:rPr>
          <w:rFonts w:hint="eastAsia" w:ascii="Times New Roman"/>
          <w:color w:val="auto"/>
          <w:sz w:val="23"/>
        </w:rPr>
        <w:t>的</w:t>
      </w:r>
      <w:r>
        <w:rPr>
          <w:rFonts w:ascii="Times New Roman"/>
          <w:color w:val="auto"/>
          <w:sz w:val="23"/>
        </w:rPr>
        <w:t>，</w:t>
      </w:r>
      <w:r>
        <w:rPr>
          <w:rFonts w:hint="eastAsia" w:ascii="Times New Roman"/>
          <w:color w:val="auto"/>
          <w:sz w:val="23"/>
        </w:rPr>
        <w:t>乙</w:t>
      </w:r>
      <w:r>
        <w:rPr>
          <w:rFonts w:ascii="Times New Roman"/>
          <w:color w:val="auto"/>
          <w:sz w:val="23"/>
        </w:rPr>
        <w:t>方</w:t>
      </w:r>
      <w:r>
        <w:rPr>
          <w:rFonts w:hint="eastAsia" w:ascii="Times New Roman"/>
          <w:color w:val="auto"/>
          <w:sz w:val="23"/>
        </w:rPr>
        <w:t>应</w:t>
      </w:r>
      <w:r>
        <w:rPr>
          <w:rFonts w:ascii="Times New Roman"/>
          <w:color w:val="auto"/>
          <w:sz w:val="23"/>
        </w:rPr>
        <w:t>给予甲方及/或前手及时足额的</w:t>
      </w:r>
      <w:r>
        <w:rPr>
          <w:rFonts w:hint="eastAsia" w:ascii="Times New Roman"/>
          <w:color w:val="auto"/>
          <w:sz w:val="23"/>
        </w:rPr>
        <w:t>赔偿</w:t>
      </w:r>
      <w:r>
        <w:rPr>
          <w:rFonts w:ascii="Times New Roman"/>
          <w:color w:val="auto"/>
          <w:sz w:val="23"/>
        </w:rPr>
        <w:t>。</w:t>
      </w:r>
    </w:p>
    <w:p w14:paraId="62F9902B">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乙方保证在其取得标的资产后，将严格按照法律许可的方式处置标的资产，不以甲方的名义对外进行追</w:t>
      </w:r>
      <w:r>
        <w:rPr>
          <w:rFonts w:hint="eastAsia" w:ascii="Times New Roman"/>
          <w:color w:val="auto"/>
          <w:sz w:val="23"/>
        </w:rPr>
        <w:t>偿</w:t>
      </w:r>
      <w:r>
        <w:rPr>
          <w:rFonts w:ascii="Times New Roman"/>
          <w:color w:val="auto"/>
          <w:sz w:val="23"/>
        </w:rPr>
        <w:t>，并不</w:t>
      </w:r>
      <w:r>
        <w:rPr>
          <w:rFonts w:hint="eastAsia" w:ascii="Times New Roman"/>
          <w:color w:val="auto"/>
          <w:sz w:val="23"/>
        </w:rPr>
        <w:t>以</w:t>
      </w:r>
      <w:r>
        <w:rPr>
          <w:rFonts w:ascii="Times New Roman"/>
          <w:color w:val="auto"/>
          <w:sz w:val="23"/>
        </w:rPr>
        <w:t>任何形式损害甲方的</w:t>
      </w:r>
      <w:r>
        <w:rPr>
          <w:rFonts w:hint="eastAsia" w:ascii="Times New Roman"/>
          <w:color w:val="auto"/>
          <w:sz w:val="23"/>
        </w:rPr>
        <w:t>权益</w:t>
      </w:r>
      <w:r>
        <w:rPr>
          <w:rFonts w:ascii="Times New Roman"/>
          <w:color w:val="auto"/>
          <w:sz w:val="23"/>
        </w:rPr>
        <w:t>，若出现违法行权或损害甲方</w:t>
      </w:r>
      <w:r>
        <w:rPr>
          <w:rFonts w:hint="eastAsia" w:ascii="Times New Roman"/>
          <w:color w:val="auto"/>
          <w:sz w:val="23"/>
        </w:rPr>
        <w:t>权</w:t>
      </w:r>
      <w:r>
        <w:rPr>
          <w:rFonts w:ascii="Times New Roman"/>
          <w:color w:val="auto"/>
          <w:sz w:val="23"/>
        </w:rPr>
        <w:t>益等情形，乙方应承担</w:t>
      </w:r>
      <w:r>
        <w:rPr>
          <w:rFonts w:hint="eastAsia" w:ascii="Times New Roman"/>
          <w:color w:val="auto"/>
          <w:sz w:val="23"/>
        </w:rPr>
        <w:t>赔偿等</w:t>
      </w:r>
      <w:r>
        <w:rPr>
          <w:rFonts w:ascii="Times New Roman"/>
          <w:color w:val="auto"/>
          <w:sz w:val="23"/>
        </w:rPr>
        <w:t>一切法律责任。</w:t>
      </w:r>
    </w:p>
    <w:p w14:paraId="7D2CD26A">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乙方保证将不会因受让的标的资产而对中国政府以任何方式行使追索权（包括但不限于不会向中国政府行使</w:t>
      </w:r>
      <w:r>
        <w:rPr>
          <w:rFonts w:hint="eastAsia" w:ascii="Times New Roman"/>
          <w:color w:val="auto"/>
          <w:sz w:val="23"/>
        </w:rPr>
        <w:t>债权人或</w:t>
      </w:r>
      <w:r>
        <w:rPr>
          <w:rFonts w:ascii="Times New Roman"/>
          <w:color w:val="auto"/>
          <w:sz w:val="23"/>
        </w:rPr>
        <w:t>担保权利人</w:t>
      </w:r>
      <w:r>
        <w:rPr>
          <w:rFonts w:hint="eastAsia" w:ascii="Times New Roman"/>
          <w:color w:val="auto"/>
          <w:sz w:val="23"/>
        </w:rPr>
        <w:t>或</w:t>
      </w:r>
      <w:r>
        <w:rPr>
          <w:rFonts w:ascii="Times New Roman"/>
          <w:color w:val="auto"/>
          <w:sz w:val="23"/>
        </w:rPr>
        <w:t>其他</w:t>
      </w:r>
      <w:r>
        <w:rPr>
          <w:rFonts w:hint="eastAsia" w:ascii="Times New Roman"/>
          <w:color w:val="auto"/>
          <w:sz w:val="23"/>
        </w:rPr>
        <w:t>权利人的权利</w:t>
      </w:r>
      <w:r>
        <w:rPr>
          <w:rFonts w:ascii="Times New Roman"/>
          <w:color w:val="auto"/>
          <w:sz w:val="23"/>
        </w:rPr>
        <w:t>）</w:t>
      </w:r>
      <w:r>
        <w:rPr>
          <w:rFonts w:hint="eastAsia" w:ascii="Times New Roman"/>
          <w:color w:val="auto"/>
          <w:sz w:val="23"/>
        </w:rPr>
        <w:t>，亦不会向中华人民共和国政府以任何方式追索出资责任</w:t>
      </w:r>
      <w:r>
        <w:rPr>
          <w:rFonts w:ascii="Times New Roman"/>
          <w:color w:val="auto"/>
          <w:sz w:val="23"/>
        </w:rPr>
        <w:t>。</w:t>
      </w:r>
    </w:p>
    <w:p w14:paraId="4889CF10">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w:t>
      </w:r>
      <w:r>
        <w:rPr>
          <w:rFonts w:hint="eastAsia" w:ascii="Times New Roman"/>
          <w:color w:val="auto"/>
          <w:sz w:val="23"/>
        </w:rPr>
        <w:t>声明</w:t>
      </w:r>
      <w:r>
        <w:rPr>
          <w:rFonts w:ascii="Times New Roman"/>
          <w:color w:val="auto"/>
          <w:sz w:val="23"/>
        </w:rPr>
        <w:t>，其已被告知并完全理解，受让的标的资产，可能存在着资产</w:t>
      </w:r>
      <w:r>
        <w:rPr>
          <w:rFonts w:hint="eastAsia" w:ascii="Times New Roman"/>
          <w:color w:val="auto"/>
          <w:sz w:val="23"/>
        </w:rPr>
        <w:t>瑕疵</w:t>
      </w:r>
      <w:r>
        <w:rPr>
          <w:rFonts w:ascii="Times New Roman"/>
          <w:color w:val="auto"/>
          <w:sz w:val="23"/>
        </w:rPr>
        <w:t>或因各种因素难以</w:t>
      </w:r>
      <w:r>
        <w:rPr>
          <w:rFonts w:hint="eastAsia" w:ascii="Times New Roman"/>
          <w:color w:val="auto"/>
          <w:sz w:val="23"/>
        </w:rPr>
        <w:t>得到</w:t>
      </w:r>
      <w:r>
        <w:rPr>
          <w:rFonts w:ascii="Times New Roman"/>
          <w:color w:val="auto"/>
          <w:sz w:val="23"/>
        </w:rPr>
        <w:t>清偿，以至于乙方预期利益可能无法最终实现。</w:t>
      </w:r>
      <w:r>
        <w:rPr>
          <w:rFonts w:hint="eastAsia" w:ascii="Times New Roman"/>
          <w:color w:val="auto"/>
          <w:sz w:val="23"/>
        </w:rPr>
        <w:t>【</w:t>
      </w:r>
      <w:r>
        <w:rPr>
          <w:rFonts w:ascii="Times New Roman"/>
          <w:color w:val="auto"/>
          <w:sz w:val="23"/>
        </w:rPr>
        <w:t>除甲方虚构、伪造资产文件外，</w:t>
      </w:r>
      <w:r>
        <w:rPr>
          <w:rFonts w:hint="eastAsia" w:ascii="Times New Roman"/>
          <w:color w:val="auto"/>
          <w:sz w:val="23"/>
        </w:rPr>
        <w:t>】</w:t>
      </w:r>
      <w:r>
        <w:rPr>
          <w:rFonts w:ascii="Times New Roman"/>
          <w:color w:val="auto"/>
          <w:sz w:val="23"/>
        </w:rPr>
        <w:t>甲方对资产</w:t>
      </w:r>
      <w:r>
        <w:rPr>
          <w:rFonts w:hint="eastAsia" w:ascii="Times New Roman"/>
          <w:color w:val="auto"/>
          <w:sz w:val="23"/>
        </w:rPr>
        <w:t>瑕疵</w:t>
      </w:r>
      <w:r>
        <w:rPr>
          <w:rFonts w:ascii="Times New Roman"/>
          <w:color w:val="auto"/>
          <w:sz w:val="23"/>
        </w:rPr>
        <w:t>不承担责任，无论资产</w:t>
      </w:r>
      <w:r>
        <w:rPr>
          <w:rFonts w:hint="eastAsia" w:ascii="Times New Roman"/>
          <w:color w:val="auto"/>
          <w:sz w:val="23"/>
        </w:rPr>
        <w:t>瑕疵</w:t>
      </w:r>
      <w:r>
        <w:rPr>
          <w:rFonts w:ascii="Times New Roman"/>
          <w:color w:val="auto"/>
          <w:sz w:val="23"/>
        </w:rPr>
        <w:t>是否已在资产文件中明示或通过对资产文件分析可以了解和发现。乙方在此明确同意，尽管本协议或关于任何标的资产的其他文件可能包含相反规定，但乙方按照本协议</w:t>
      </w:r>
      <w:r>
        <w:rPr>
          <w:rFonts w:hint="eastAsia" w:ascii="Times New Roman"/>
          <w:color w:val="auto"/>
          <w:sz w:val="23"/>
        </w:rPr>
        <w:t>受让</w:t>
      </w:r>
      <w:r>
        <w:rPr>
          <w:rFonts w:ascii="Times New Roman"/>
          <w:color w:val="auto"/>
          <w:sz w:val="23"/>
        </w:rPr>
        <w:t>标的资产的同时并不能获得目前存在的及/或可能存在的针对甲方</w:t>
      </w:r>
      <w:r>
        <w:rPr>
          <w:rFonts w:hint="eastAsia" w:ascii="Times New Roman"/>
          <w:color w:val="auto"/>
          <w:sz w:val="23"/>
        </w:rPr>
        <w:t>及/或</w:t>
      </w:r>
      <w:r>
        <w:rPr>
          <w:rFonts w:ascii="Times New Roman"/>
          <w:color w:val="auto"/>
          <w:sz w:val="23"/>
        </w:rPr>
        <w:t>前手，以及甲方</w:t>
      </w:r>
      <w:r>
        <w:rPr>
          <w:rFonts w:hint="eastAsia" w:ascii="Times New Roman"/>
          <w:color w:val="auto"/>
          <w:sz w:val="23"/>
        </w:rPr>
        <w:t>及/或</w:t>
      </w:r>
      <w:r>
        <w:rPr>
          <w:rFonts w:ascii="Times New Roman"/>
          <w:color w:val="auto"/>
          <w:sz w:val="23"/>
        </w:rPr>
        <w:t>前手的高级职员、董事、雇员、内部知情人、会计、律师或甲方</w:t>
      </w:r>
      <w:r>
        <w:rPr>
          <w:rFonts w:hint="eastAsia" w:ascii="Times New Roman"/>
          <w:color w:val="auto"/>
          <w:sz w:val="23"/>
        </w:rPr>
        <w:t>及/</w:t>
      </w:r>
      <w:r>
        <w:rPr>
          <w:rFonts w:ascii="Times New Roman"/>
          <w:color w:val="auto"/>
          <w:sz w:val="23"/>
        </w:rPr>
        <w:t>或前手聘请的其他人的任何</w:t>
      </w:r>
      <w:r>
        <w:rPr>
          <w:rFonts w:hint="eastAsia" w:ascii="Times New Roman"/>
          <w:color w:val="auto"/>
          <w:sz w:val="23"/>
        </w:rPr>
        <w:t>追索权</w:t>
      </w:r>
      <w:r>
        <w:rPr>
          <w:rFonts w:ascii="Times New Roman"/>
          <w:color w:val="auto"/>
          <w:sz w:val="23"/>
        </w:rPr>
        <w:t>，</w:t>
      </w:r>
      <w:r>
        <w:rPr>
          <w:rFonts w:hint="eastAsia" w:ascii="Times New Roman"/>
          <w:color w:val="auto"/>
          <w:sz w:val="23"/>
        </w:rPr>
        <w:t>即使</w:t>
      </w:r>
      <w:r>
        <w:rPr>
          <w:rFonts w:ascii="Times New Roman"/>
          <w:color w:val="auto"/>
          <w:sz w:val="23"/>
        </w:rPr>
        <w:t>该等人士可能在发起、创设或管理该标的资产过程中对给甲方或前手造成的损失负有一定责任。</w:t>
      </w:r>
    </w:p>
    <w:p w14:paraId="6AF81B84">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乙方</w:t>
      </w:r>
      <w:r>
        <w:rPr>
          <w:rFonts w:hint="eastAsia" w:ascii="Times New Roman"/>
          <w:color w:val="auto"/>
          <w:sz w:val="23"/>
        </w:rPr>
        <w:t>声明并</w:t>
      </w:r>
      <w:r>
        <w:rPr>
          <w:rFonts w:ascii="Times New Roman"/>
          <w:color w:val="auto"/>
          <w:sz w:val="23"/>
        </w:rPr>
        <w:t>保证，</w:t>
      </w:r>
      <w:r>
        <w:rPr>
          <w:rFonts w:hint="eastAsia" w:ascii="Times New Roman"/>
          <w:color w:val="auto"/>
          <w:sz w:val="23"/>
        </w:rPr>
        <w:t>乙方在向任何第三方转让任何标的资产时将会要求受让该等标的资产的第三方也做出第10.1、第</w:t>
      </w:r>
      <w:r>
        <w:rPr>
          <w:rFonts w:ascii="Times New Roman"/>
          <w:color w:val="auto"/>
          <w:sz w:val="23"/>
        </w:rPr>
        <w:t>1</w:t>
      </w:r>
      <w:r>
        <w:rPr>
          <w:rFonts w:hint="eastAsia" w:ascii="Times New Roman"/>
          <w:color w:val="auto"/>
          <w:sz w:val="23"/>
        </w:rPr>
        <w:t>0.3、第</w:t>
      </w:r>
      <w:r>
        <w:rPr>
          <w:rFonts w:ascii="Times New Roman"/>
          <w:color w:val="auto"/>
          <w:sz w:val="23"/>
        </w:rPr>
        <w:t>1</w:t>
      </w:r>
      <w:r>
        <w:rPr>
          <w:rFonts w:hint="eastAsia" w:ascii="Times New Roman"/>
          <w:color w:val="auto"/>
          <w:sz w:val="23"/>
        </w:rPr>
        <w:t>0.6、第10.7、第</w:t>
      </w:r>
      <w:r>
        <w:rPr>
          <w:rFonts w:ascii="Times New Roman"/>
          <w:color w:val="auto"/>
          <w:sz w:val="23"/>
        </w:rPr>
        <w:t>1</w:t>
      </w:r>
      <w:r>
        <w:rPr>
          <w:rFonts w:hint="eastAsia" w:ascii="Times New Roman"/>
          <w:color w:val="auto"/>
          <w:sz w:val="23"/>
        </w:rPr>
        <w:t>0.8、第</w:t>
      </w:r>
      <w:r>
        <w:rPr>
          <w:rFonts w:ascii="Times New Roman"/>
          <w:color w:val="auto"/>
          <w:sz w:val="23"/>
        </w:rPr>
        <w:t>1</w:t>
      </w:r>
      <w:r>
        <w:rPr>
          <w:rFonts w:hint="eastAsia" w:ascii="Times New Roman"/>
          <w:color w:val="auto"/>
          <w:sz w:val="23"/>
        </w:rPr>
        <w:t>0.10、第10.11、第</w:t>
      </w:r>
      <w:r>
        <w:rPr>
          <w:rFonts w:ascii="Times New Roman"/>
          <w:color w:val="auto"/>
          <w:sz w:val="23"/>
        </w:rPr>
        <w:t>1</w:t>
      </w:r>
      <w:r>
        <w:rPr>
          <w:rFonts w:hint="eastAsia" w:ascii="Times New Roman"/>
          <w:color w:val="auto"/>
          <w:sz w:val="23"/>
        </w:rPr>
        <w:t>0.12及第</w:t>
      </w:r>
      <w:r>
        <w:rPr>
          <w:rFonts w:ascii="Times New Roman"/>
          <w:color w:val="auto"/>
          <w:sz w:val="23"/>
        </w:rPr>
        <w:t>1</w:t>
      </w:r>
      <w:r>
        <w:rPr>
          <w:rFonts w:hint="eastAsia" w:ascii="Times New Roman"/>
          <w:color w:val="auto"/>
          <w:sz w:val="23"/>
        </w:rPr>
        <w:t>0.13款所约定之同等承诺，并要求受让该等标的资产的第三方在进一步转让该等标的资产时会要求其受让人均做出前述同等承诺，</w:t>
      </w:r>
      <w:r>
        <w:rPr>
          <w:rFonts w:ascii="Times New Roman"/>
          <w:color w:val="auto"/>
          <w:sz w:val="23"/>
        </w:rPr>
        <w:t>以确保受让标的资产的第三方及其后手</w:t>
      </w:r>
      <w:r>
        <w:rPr>
          <w:rFonts w:hint="eastAsia" w:ascii="Times New Roman"/>
          <w:color w:val="auto"/>
          <w:sz w:val="23"/>
        </w:rPr>
        <w:t>放弃</w:t>
      </w:r>
      <w:r>
        <w:rPr>
          <w:rFonts w:ascii="Times New Roman"/>
          <w:color w:val="auto"/>
          <w:sz w:val="23"/>
        </w:rPr>
        <w:t>对</w:t>
      </w:r>
      <w:r>
        <w:rPr>
          <w:rFonts w:hint="eastAsia" w:ascii="Times New Roman"/>
          <w:color w:val="auto"/>
          <w:sz w:val="23"/>
        </w:rPr>
        <w:t>中国政府、</w:t>
      </w:r>
      <w:r>
        <w:rPr>
          <w:rFonts w:ascii="Times New Roman"/>
          <w:color w:val="auto"/>
          <w:sz w:val="23"/>
        </w:rPr>
        <w:t>本协议项下</w:t>
      </w:r>
      <w:r>
        <w:rPr>
          <w:rFonts w:hint="eastAsia" w:ascii="Times New Roman"/>
          <w:color w:val="auto"/>
          <w:sz w:val="23"/>
        </w:rPr>
        <w:t>甲方及/或其前手的</w:t>
      </w:r>
      <w:r>
        <w:rPr>
          <w:rFonts w:ascii="Times New Roman"/>
          <w:color w:val="auto"/>
          <w:sz w:val="23"/>
        </w:rPr>
        <w:t>追索权</w:t>
      </w:r>
      <w:r>
        <w:rPr>
          <w:rFonts w:hint="eastAsia" w:ascii="Times New Roman"/>
          <w:color w:val="auto"/>
          <w:sz w:val="23"/>
        </w:rPr>
        <w:t>；乙方承诺并保证，</w:t>
      </w:r>
      <w:r>
        <w:rPr>
          <w:rFonts w:ascii="Times New Roman"/>
          <w:color w:val="auto"/>
          <w:sz w:val="23"/>
        </w:rPr>
        <w:t>乙方及其</w:t>
      </w:r>
      <w:r>
        <w:rPr>
          <w:rFonts w:hint="eastAsia" w:ascii="Times New Roman"/>
          <w:color w:val="auto"/>
          <w:sz w:val="23"/>
        </w:rPr>
        <w:t>后手不会违反前述同等承诺。</w:t>
      </w:r>
    </w:p>
    <w:p w14:paraId="5D4766DC">
      <w:pPr>
        <w:pStyle w:val="32"/>
        <w:spacing w:after="240" w:afterLines="100" w:line="300" w:lineRule="auto"/>
        <w:ind w:left="709"/>
        <w:jc w:val="both"/>
        <w:outlineLvl w:val="1"/>
        <w:rPr>
          <w:rFonts w:ascii="Times New Roman"/>
          <w:color w:val="auto"/>
          <w:sz w:val="23"/>
        </w:rPr>
      </w:pPr>
      <w:r>
        <w:rPr>
          <w:rFonts w:ascii="Times New Roman"/>
          <w:color w:val="auto"/>
          <w:sz w:val="23"/>
        </w:rPr>
        <w:t>如果乙方违反本款义务，导致甲方依照生效的法院判决、仲裁裁决、政府命令或者任何其他对甲方有约束力的指示对乙方</w:t>
      </w:r>
      <w:r>
        <w:rPr>
          <w:rFonts w:hint="eastAsia" w:ascii="Times New Roman"/>
          <w:color w:val="auto"/>
          <w:sz w:val="23"/>
        </w:rPr>
        <w:t>及/</w:t>
      </w:r>
      <w:r>
        <w:rPr>
          <w:rFonts w:ascii="Times New Roman"/>
          <w:color w:val="auto"/>
          <w:sz w:val="23"/>
        </w:rPr>
        <w:t>或乙方</w:t>
      </w:r>
      <w:r>
        <w:rPr>
          <w:rFonts w:hint="eastAsia" w:ascii="Times New Roman"/>
          <w:color w:val="auto"/>
          <w:sz w:val="23"/>
        </w:rPr>
        <w:t>后手及/</w:t>
      </w:r>
      <w:r>
        <w:rPr>
          <w:rFonts w:ascii="Times New Roman"/>
          <w:color w:val="auto"/>
          <w:sz w:val="23"/>
        </w:rPr>
        <w:t>或任何其他第三方予以赔偿或支付任何款项，则乙方</w:t>
      </w:r>
      <w:r>
        <w:rPr>
          <w:rFonts w:hint="eastAsia" w:ascii="Times New Roman"/>
          <w:color w:val="auto"/>
          <w:sz w:val="23"/>
        </w:rPr>
        <w:t>应于收到甲方书面通知之日起【十】个工作日内向甲方支付前述</w:t>
      </w:r>
      <w:r>
        <w:rPr>
          <w:rFonts w:ascii="Times New Roman"/>
          <w:color w:val="auto"/>
          <w:sz w:val="23"/>
        </w:rPr>
        <w:t>款项</w:t>
      </w:r>
      <w:r>
        <w:rPr>
          <w:rFonts w:hint="eastAsia" w:ascii="Times New Roman"/>
          <w:color w:val="auto"/>
          <w:sz w:val="23"/>
        </w:rPr>
        <w:t>，乙方逾期未支付的，每迟延一日，应向甲方支付应付未付款项的万分之【五】作为违约金</w:t>
      </w:r>
      <w:r>
        <w:rPr>
          <w:rFonts w:ascii="Times New Roman"/>
          <w:color w:val="auto"/>
          <w:sz w:val="23"/>
        </w:rPr>
        <w:t>。</w:t>
      </w:r>
    </w:p>
    <w:p w14:paraId="7F55DBDE">
      <w:pPr>
        <w:pStyle w:val="32"/>
        <w:numPr>
          <w:ilvl w:val="1"/>
          <w:numId w:val="4"/>
        </w:numPr>
        <w:spacing w:after="240" w:afterLines="100" w:line="300" w:lineRule="auto"/>
        <w:jc w:val="both"/>
        <w:outlineLvl w:val="1"/>
        <w:rPr>
          <w:rFonts w:hAnsi="宋体"/>
          <w:sz w:val="23"/>
          <w:szCs w:val="23"/>
        </w:rPr>
      </w:pPr>
      <w:r>
        <w:rPr>
          <w:rFonts w:hint="eastAsia" w:hAnsi="宋体"/>
          <w:kern w:val="2"/>
          <w:sz w:val="23"/>
          <w:szCs w:val="23"/>
        </w:rPr>
        <w:t>乙方承诺尽</w:t>
      </w:r>
      <w:r>
        <w:rPr>
          <w:rFonts w:hAnsi="宋体"/>
          <w:kern w:val="2"/>
          <w:sz w:val="23"/>
          <w:szCs w:val="23"/>
        </w:rPr>
        <w:t>最大努力谨慎、勤勉地促成</w:t>
      </w:r>
      <w:r>
        <w:rPr>
          <w:rFonts w:hint="eastAsia" w:hAnsi="宋体"/>
          <w:kern w:val="2"/>
          <w:sz w:val="23"/>
          <w:szCs w:val="23"/>
        </w:rPr>
        <w:t>标的</w:t>
      </w:r>
      <w:r>
        <w:rPr>
          <w:rFonts w:hAnsi="宋体"/>
          <w:kern w:val="2"/>
          <w:sz w:val="23"/>
          <w:szCs w:val="23"/>
        </w:rPr>
        <w:t>资产交割</w:t>
      </w:r>
      <w:r>
        <w:rPr>
          <w:rFonts w:hint="eastAsia" w:hAnsi="宋体"/>
          <w:kern w:val="2"/>
          <w:sz w:val="23"/>
          <w:szCs w:val="23"/>
        </w:rPr>
        <w:t>条件</w:t>
      </w:r>
      <w:r>
        <w:rPr>
          <w:rFonts w:hAnsi="宋体"/>
          <w:kern w:val="2"/>
          <w:sz w:val="23"/>
          <w:szCs w:val="23"/>
        </w:rPr>
        <w:t>成就和满足</w:t>
      </w:r>
      <w:r>
        <w:rPr>
          <w:rFonts w:hint="eastAsia" w:hAnsi="宋体"/>
          <w:kern w:val="2"/>
          <w:sz w:val="23"/>
          <w:szCs w:val="23"/>
        </w:rPr>
        <w:t>。乙方承诺并确认，过渡期内，若标的资产中的任何部分已经依据乙方的要求或因被动处置需要而被出售或以其他方式被处置，则乙方对前述处置后果承担全部责任；对甲方因前述事由而采取的行动或不作为所导致的任何对甲方声明和保证的违反及因此对标的资产或乙方产生的不利影响，乙方承担全部责任。如标的资产最终未完成交割的，乙方需对前述处置结果造成的甲方损失承担赔偿责任。</w:t>
      </w:r>
    </w:p>
    <w:p w14:paraId="635D0DF4">
      <w:pPr>
        <w:pStyle w:val="32"/>
        <w:numPr>
          <w:ilvl w:val="1"/>
          <w:numId w:val="4"/>
        </w:numPr>
        <w:spacing w:after="240" w:afterLines="100" w:line="300" w:lineRule="auto"/>
        <w:jc w:val="both"/>
        <w:outlineLvl w:val="1"/>
        <w:rPr>
          <w:rFonts w:ascii="Times New Roman"/>
          <w:color w:val="auto"/>
          <w:sz w:val="23"/>
        </w:rPr>
      </w:pPr>
      <w:r>
        <w:rPr>
          <w:rFonts w:hint="eastAsia" w:ascii="Times New Roman"/>
          <w:color w:val="auto"/>
          <w:sz w:val="23"/>
        </w:rPr>
        <w:t>乙方在参与标的资产</w:t>
      </w:r>
      <w:r>
        <w:rPr>
          <w:rFonts w:ascii="Times New Roman"/>
          <w:color w:val="auto"/>
          <w:sz w:val="23"/>
        </w:rPr>
        <w:t>买方尽职调查及</w:t>
      </w:r>
      <w:r>
        <w:rPr>
          <w:rFonts w:hint="eastAsia" w:ascii="Times New Roman"/>
          <w:color w:val="auto"/>
          <w:sz w:val="23"/>
        </w:rPr>
        <w:t>竞价阶段所作出的任何声明</w:t>
      </w:r>
      <w:r>
        <w:rPr>
          <w:rFonts w:ascii="Times New Roman"/>
          <w:color w:val="auto"/>
          <w:sz w:val="23"/>
        </w:rPr>
        <w:t>、</w:t>
      </w:r>
      <w:r>
        <w:rPr>
          <w:rFonts w:hint="eastAsia" w:ascii="Times New Roman"/>
          <w:color w:val="auto"/>
          <w:sz w:val="23"/>
        </w:rPr>
        <w:t>保证和</w:t>
      </w:r>
      <w:r>
        <w:rPr>
          <w:rFonts w:ascii="Times New Roman"/>
          <w:color w:val="auto"/>
          <w:sz w:val="23"/>
        </w:rPr>
        <w:t>承诺</w:t>
      </w:r>
      <w:r>
        <w:rPr>
          <w:rFonts w:hint="eastAsia" w:ascii="Times New Roman"/>
          <w:color w:val="auto"/>
          <w:sz w:val="23"/>
        </w:rPr>
        <w:t>均在本协议项下继续有效。</w:t>
      </w:r>
    </w:p>
    <w:p w14:paraId="2A5760D1">
      <w:pPr>
        <w:pStyle w:val="32"/>
        <w:numPr>
          <w:ilvl w:val="1"/>
          <w:numId w:val="4"/>
        </w:numPr>
        <w:spacing w:after="240" w:afterLines="100" w:line="300" w:lineRule="auto"/>
        <w:outlineLvl w:val="1"/>
        <w:rPr>
          <w:rFonts w:hAnsi="宋体"/>
          <w:kern w:val="2"/>
          <w:sz w:val="23"/>
          <w:szCs w:val="23"/>
        </w:rPr>
      </w:pPr>
      <w:r>
        <w:rPr>
          <w:rFonts w:hAnsi="宋体"/>
          <w:kern w:val="2"/>
          <w:sz w:val="23"/>
          <w:szCs w:val="23"/>
        </w:rPr>
        <w:t>在本协议有效期间，乙方合法正常经营，不组织或参与非法集资等违法违规行为。</w:t>
      </w:r>
    </w:p>
    <w:p w14:paraId="7517AD84">
      <w:pPr>
        <w:pStyle w:val="32"/>
        <w:numPr>
          <w:ilvl w:val="1"/>
          <w:numId w:val="4"/>
        </w:numPr>
        <w:spacing w:before="240" w:beforeLines="100" w:after="240" w:afterLines="100" w:line="300" w:lineRule="auto"/>
        <w:jc w:val="both"/>
        <w:outlineLvl w:val="1"/>
        <w:rPr>
          <w:rFonts w:hAnsi="宋体"/>
          <w:kern w:val="2"/>
          <w:sz w:val="23"/>
          <w:szCs w:val="23"/>
        </w:rPr>
      </w:pPr>
      <w:r>
        <w:rPr>
          <w:rFonts w:hAnsi="宋体"/>
          <w:kern w:val="2"/>
          <w:sz w:val="23"/>
          <w:szCs w:val="23"/>
        </w:rPr>
        <w:t>乙方不会基于任何理由对</w:t>
      </w:r>
      <w:r>
        <w:rPr>
          <w:rFonts w:hint="eastAsia" w:hAnsi="宋体"/>
          <w:kern w:val="2"/>
          <w:sz w:val="23"/>
          <w:szCs w:val="23"/>
        </w:rPr>
        <w:t>支付</w:t>
      </w:r>
      <w:r>
        <w:rPr>
          <w:rFonts w:hint="eastAsia" w:hAnsi="宋体"/>
          <w:color w:val="auto"/>
          <w:sz w:val="23"/>
        </w:rPr>
        <w:t>义务</w:t>
      </w:r>
      <w:r>
        <w:rPr>
          <w:rFonts w:hAnsi="宋体"/>
          <w:kern w:val="2"/>
          <w:sz w:val="23"/>
          <w:szCs w:val="23"/>
        </w:rPr>
        <w:t>的部分或全部提出抗辩。</w:t>
      </w:r>
    </w:p>
    <w:p w14:paraId="3A8F3173">
      <w:pPr>
        <w:pStyle w:val="32"/>
        <w:numPr>
          <w:ilvl w:val="1"/>
          <w:numId w:val="4"/>
        </w:numPr>
        <w:spacing w:after="240" w:afterLines="100" w:line="300" w:lineRule="auto"/>
        <w:jc w:val="both"/>
        <w:outlineLvl w:val="1"/>
        <w:rPr>
          <w:rFonts w:hAnsi="宋体"/>
          <w:kern w:val="2"/>
          <w:sz w:val="23"/>
          <w:szCs w:val="23"/>
        </w:rPr>
      </w:pPr>
      <w:r>
        <w:rPr>
          <w:rFonts w:hAnsi="宋体"/>
          <w:kern w:val="2"/>
          <w:sz w:val="23"/>
          <w:szCs w:val="23"/>
        </w:rPr>
        <w:t>在本协议有效期间，</w:t>
      </w:r>
      <w:r>
        <w:rPr>
          <w:rFonts w:hint="eastAsia" w:hAnsi="宋体"/>
          <w:kern w:val="2"/>
          <w:sz w:val="23"/>
          <w:szCs w:val="23"/>
        </w:rPr>
        <w:t>乙方</w:t>
      </w:r>
      <w:r>
        <w:rPr>
          <w:rFonts w:hAnsi="宋体"/>
          <w:kern w:val="2"/>
          <w:sz w:val="23"/>
          <w:szCs w:val="23"/>
        </w:rPr>
        <w:t>不以任何方式减少乙方注册资本或协助股东抽逃</w:t>
      </w:r>
      <w:r>
        <w:rPr>
          <w:rFonts w:hint="eastAsia" w:hAnsi="宋体"/>
          <w:kern w:val="2"/>
          <w:sz w:val="23"/>
          <w:szCs w:val="23"/>
        </w:rPr>
        <w:t>出资</w:t>
      </w:r>
      <w:r>
        <w:rPr>
          <w:rFonts w:hAnsi="宋体"/>
          <w:kern w:val="2"/>
          <w:sz w:val="23"/>
          <w:szCs w:val="23"/>
        </w:rPr>
        <w:t>。</w:t>
      </w:r>
    </w:p>
    <w:p w14:paraId="313340C7">
      <w:pPr>
        <w:pStyle w:val="32"/>
        <w:numPr>
          <w:ilvl w:val="1"/>
          <w:numId w:val="4"/>
        </w:numPr>
        <w:spacing w:after="240" w:afterLines="100" w:line="300" w:lineRule="auto"/>
        <w:jc w:val="both"/>
        <w:outlineLvl w:val="1"/>
        <w:rPr>
          <w:rFonts w:hAnsi="宋体"/>
          <w:kern w:val="2"/>
          <w:sz w:val="23"/>
          <w:szCs w:val="23"/>
        </w:rPr>
      </w:pPr>
      <w:r>
        <w:rPr>
          <w:rFonts w:hAnsi="宋体"/>
          <w:kern w:val="2"/>
          <w:sz w:val="23"/>
          <w:szCs w:val="23"/>
        </w:rPr>
        <w:t>本协议有效期间，乙方如拟实施可能危及其对甲方的偿债能力的重大经营决策或产权变动行为，乙方应事先向</w:t>
      </w:r>
      <w:r>
        <w:rPr>
          <w:rFonts w:hint="eastAsia" w:hAnsi="宋体"/>
          <w:kern w:val="2"/>
          <w:sz w:val="23"/>
          <w:szCs w:val="23"/>
        </w:rPr>
        <w:t>甲方</w:t>
      </w:r>
      <w:r>
        <w:rPr>
          <w:rFonts w:hAnsi="宋体"/>
          <w:kern w:val="2"/>
          <w:sz w:val="23"/>
          <w:szCs w:val="23"/>
        </w:rPr>
        <w:t>发出书面通知，征得</w:t>
      </w:r>
      <w:r>
        <w:rPr>
          <w:rFonts w:hint="eastAsia" w:hAnsi="宋体"/>
          <w:kern w:val="2"/>
          <w:sz w:val="23"/>
          <w:szCs w:val="23"/>
        </w:rPr>
        <w:t>甲方</w:t>
      </w:r>
      <w:r>
        <w:rPr>
          <w:rFonts w:hAnsi="宋体"/>
          <w:kern w:val="2"/>
          <w:sz w:val="23"/>
          <w:szCs w:val="23"/>
        </w:rPr>
        <w:t>的书面同意后，方可实施。乙方的重大经营决策</w:t>
      </w:r>
      <w:r>
        <w:rPr>
          <w:rFonts w:hint="eastAsia" w:hAnsi="宋体"/>
          <w:kern w:val="2"/>
          <w:sz w:val="23"/>
          <w:szCs w:val="23"/>
        </w:rPr>
        <w:t>或</w:t>
      </w:r>
      <w:r>
        <w:rPr>
          <w:rFonts w:hAnsi="宋体"/>
          <w:kern w:val="2"/>
          <w:sz w:val="23"/>
          <w:szCs w:val="23"/>
        </w:rPr>
        <w:t>产权变动包括但不限于</w:t>
      </w:r>
      <w:r>
        <w:rPr>
          <w:rFonts w:hint="eastAsia" w:hAnsi="宋体"/>
          <w:kern w:val="2"/>
          <w:sz w:val="23"/>
          <w:szCs w:val="23"/>
        </w:rPr>
        <w:t>重大投资；</w:t>
      </w:r>
      <w:r>
        <w:rPr>
          <w:rFonts w:hAnsi="宋体"/>
          <w:kern w:val="2"/>
          <w:sz w:val="23"/>
          <w:szCs w:val="23"/>
        </w:rPr>
        <w:t>与外商签订合资、合作合同；分立、合并、兼并、被兼并、重组、股份制改造、公司组织形式变更；以租赁、承包、联营、托管等方式进行产权、经营权交易；以房屋、机器设备等固定资产或商标、专利、专有技术、土地使用权等无形资产作价入股或对外投资；以出售、出租、转让或以其他方式处置其全部或部分的资产等。</w:t>
      </w:r>
    </w:p>
    <w:p w14:paraId="3ABD7006">
      <w:pPr>
        <w:pStyle w:val="32"/>
        <w:numPr>
          <w:ilvl w:val="1"/>
          <w:numId w:val="4"/>
        </w:numPr>
        <w:spacing w:after="240" w:afterLines="100" w:line="300" w:lineRule="auto"/>
        <w:jc w:val="both"/>
        <w:outlineLvl w:val="1"/>
        <w:rPr>
          <w:rFonts w:hAnsi="宋体"/>
          <w:kern w:val="2"/>
          <w:sz w:val="23"/>
          <w:szCs w:val="23"/>
        </w:rPr>
      </w:pPr>
      <w:r>
        <w:rPr>
          <w:rFonts w:hint="eastAsia" w:hAnsi="宋体"/>
          <w:kern w:val="2"/>
          <w:sz w:val="23"/>
          <w:szCs w:val="23"/>
        </w:rPr>
        <w:t>乙方承诺确保其组织机构健全、内控制度完善，具有良好的财务状况、规范的财务管理体系。</w:t>
      </w:r>
      <w:r>
        <w:rPr>
          <w:rFonts w:hAnsi="宋体"/>
          <w:kern w:val="2"/>
          <w:sz w:val="23"/>
          <w:szCs w:val="23"/>
        </w:rPr>
        <w:t>乙方保证积极配合并自觉接受甲方对其生产经营和财务活动的检查、监督，并按照</w:t>
      </w:r>
      <w:r>
        <w:rPr>
          <w:rFonts w:hint="eastAsia" w:hAnsi="宋体"/>
          <w:kern w:val="2"/>
          <w:sz w:val="23"/>
          <w:szCs w:val="23"/>
        </w:rPr>
        <w:t>甲方</w:t>
      </w:r>
      <w:r>
        <w:rPr>
          <w:rFonts w:hAnsi="宋体"/>
          <w:kern w:val="2"/>
          <w:sz w:val="23"/>
          <w:szCs w:val="23"/>
        </w:rPr>
        <w:t>的要求随时提供全部财务报表、</w:t>
      </w:r>
      <w:r>
        <w:rPr>
          <w:rFonts w:hint="eastAsia" w:hAnsi="宋体"/>
          <w:kern w:val="2"/>
          <w:sz w:val="23"/>
          <w:szCs w:val="23"/>
        </w:rPr>
        <w:t>会计</w:t>
      </w:r>
      <w:r>
        <w:rPr>
          <w:rFonts w:hAnsi="宋体"/>
          <w:kern w:val="2"/>
          <w:sz w:val="23"/>
          <w:szCs w:val="23"/>
        </w:rPr>
        <w:t>凭证、财产清单等相关材料。</w:t>
      </w:r>
    </w:p>
    <w:p w14:paraId="3DE898D1">
      <w:pPr>
        <w:pStyle w:val="32"/>
        <w:numPr>
          <w:ilvl w:val="1"/>
          <w:numId w:val="4"/>
        </w:numPr>
        <w:spacing w:after="240" w:afterLines="100" w:line="300" w:lineRule="auto"/>
        <w:jc w:val="both"/>
        <w:outlineLvl w:val="1"/>
        <w:rPr>
          <w:rFonts w:hAnsi="宋体"/>
          <w:kern w:val="2"/>
          <w:sz w:val="23"/>
          <w:szCs w:val="23"/>
        </w:rPr>
      </w:pPr>
      <w:r>
        <w:rPr>
          <w:rFonts w:hint="eastAsia" w:hAnsi="宋体"/>
          <w:kern w:val="2"/>
          <w:sz w:val="23"/>
          <w:szCs w:val="23"/>
        </w:rPr>
        <w:t>乙方及其关联方不存在任何违法行为或违约记录或重大诉讼、仲裁、强制执行等可能影响乙方偿债能力的事项。</w:t>
      </w:r>
      <w:r>
        <w:rPr>
          <w:rFonts w:hAnsi="宋体"/>
          <w:kern w:val="2"/>
          <w:sz w:val="23"/>
          <w:szCs w:val="23"/>
        </w:rPr>
        <w:t>如</w:t>
      </w:r>
      <w:r>
        <w:rPr>
          <w:rFonts w:hint="eastAsia" w:hAnsi="宋体"/>
          <w:kern w:val="2"/>
          <w:sz w:val="23"/>
          <w:szCs w:val="23"/>
        </w:rPr>
        <w:t>在本协议有效期间，乙方或其关联方</w:t>
      </w:r>
      <w:r>
        <w:rPr>
          <w:rFonts w:hAnsi="宋体"/>
          <w:kern w:val="2"/>
          <w:sz w:val="23"/>
          <w:szCs w:val="23"/>
        </w:rPr>
        <w:t>发生重大诉讼或仲裁、强制执行等可能影响或减损乙方偿债能力的任何重大事项，乙方应在事件发生</w:t>
      </w:r>
      <w:r>
        <w:rPr>
          <w:rFonts w:hint="eastAsia" w:hAnsi="宋体"/>
          <w:kern w:val="2"/>
          <w:sz w:val="23"/>
          <w:szCs w:val="23"/>
        </w:rPr>
        <w:t>当日</w:t>
      </w:r>
      <w:r>
        <w:rPr>
          <w:rFonts w:hAnsi="宋体"/>
          <w:kern w:val="2"/>
          <w:sz w:val="23"/>
          <w:szCs w:val="23"/>
        </w:rPr>
        <w:t>立即书面通知甲方，并及时采取适当、有效的保护措施使甲方的债权不受损害。</w:t>
      </w:r>
    </w:p>
    <w:p w14:paraId="13DD4382">
      <w:pPr>
        <w:pStyle w:val="32"/>
        <w:numPr>
          <w:ilvl w:val="1"/>
          <w:numId w:val="4"/>
        </w:numPr>
        <w:spacing w:after="240" w:afterLines="100" w:line="300" w:lineRule="auto"/>
        <w:jc w:val="both"/>
        <w:outlineLvl w:val="1"/>
        <w:rPr>
          <w:rFonts w:hAnsi="宋体"/>
          <w:kern w:val="2"/>
          <w:sz w:val="23"/>
          <w:szCs w:val="23"/>
        </w:rPr>
      </w:pPr>
      <w:r>
        <w:rPr>
          <w:rFonts w:hAnsi="宋体"/>
          <w:kern w:val="2"/>
          <w:sz w:val="23"/>
          <w:szCs w:val="23"/>
        </w:rPr>
        <w:t>本协议有效期间，乙方如发生名称、法定代表人、住所、经营范围等变更事项</w:t>
      </w:r>
      <w:r>
        <w:rPr>
          <w:rFonts w:hint="eastAsia" w:hAnsi="宋体"/>
          <w:kern w:val="2"/>
          <w:sz w:val="23"/>
          <w:szCs w:val="23"/>
        </w:rPr>
        <w:t>或任何重大事项</w:t>
      </w:r>
      <w:r>
        <w:rPr>
          <w:rFonts w:hAnsi="宋体"/>
          <w:kern w:val="2"/>
          <w:sz w:val="23"/>
          <w:szCs w:val="23"/>
        </w:rPr>
        <w:t>，应当</w:t>
      </w:r>
      <w:r>
        <w:rPr>
          <w:rFonts w:hint="eastAsia" w:hAnsi="宋体"/>
          <w:kern w:val="2"/>
          <w:sz w:val="23"/>
          <w:szCs w:val="23"/>
        </w:rPr>
        <w:t>于事件发生之日起【五】个工作日内</w:t>
      </w:r>
      <w:r>
        <w:rPr>
          <w:rFonts w:hAnsi="宋体"/>
          <w:kern w:val="2"/>
          <w:sz w:val="23"/>
          <w:szCs w:val="23"/>
        </w:rPr>
        <w:t>书面通知</w:t>
      </w:r>
      <w:r>
        <w:rPr>
          <w:rFonts w:hint="eastAsia" w:hAnsi="宋体"/>
          <w:kern w:val="2"/>
          <w:sz w:val="23"/>
          <w:szCs w:val="23"/>
        </w:rPr>
        <w:t>甲方</w:t>
      </w:r>
      <w:r>
        <w:rPr>
          <w:rFonts w:hAnsi="宋体"/>
          <w:kern w:val="2"/>
          <w:sz w:val="23"/>
          <w:szCs w:val="23"/>
        </w:rPr>
        <w:t>。</w:t>
      </w:r>
    </w:p>
    <w:p w14:paraId="4B32DF82">
      <w:pPr>
        <w:pStyle w:val="32"/>
        <w:numPr>
          <w:ilvl w:val="1"/>
          <w:numId w:val="4"/>
        </w:numPr>
        <w:spacing w:after="240" w:afterLines="100" w:line="300" w:lineRule="auto"/>
        <w:jc w:val="both"/>
        <w:outlineLvl w:val="1"/>
        <w:rPr>
          <w:rFonts w:hAnsi="宋体"/>
          <w:kern w:val="2"/>
          <w:sz w:val="23"/>
          <w:szCs w:val="23"/>
        </w:rPr>
      </w:pPr>
      <w:r>
        <w:rPr>
          <w:rFonts w:hAnsi="宋体"/>
          <w:kern w:val="2"/>
          <w:sz w:val="23"/>
          <w:szCs w:val="23"/>
        </w:rPr>
        <w:t>乙方保证全额清偿债务，不附带任何条件，亦不提出任何抵销、反索赔的主张或任何其他抗辩。</w:t>
      </w:r>
    </w:p>
    <w:p w14:paraId="51A361CD">
      <w:pPr>
        <w:pStyle w:val="32"/>
        <w:numPr>
          <w:ilvl w:val="1"/>
          <w:numId w:val="4"/>
        </w:numPr>
        <w:spacing w:after="240" w:afterLines="100" w:line="300" w:lineRule="auto"/>
        <w:jc w:val="both"/>
        <w:outlineLvl w:val="1"/>
        <w:rPr>
          <w:rFonts w:hAnsi="宋体"/>
          <w:kern w:val="2"/>
          <w:sz w:val="23"/>
          <w:szCs w:val="23"/>
        </w:rPr>
      </w:pPr>
      <w:r>
        <w:rPr>
          <w:rFonts w:hint="eastAsia" w:hAnsi="宋体"/>
          <w:kern w:val="2"/>
          <w:sz w:val="23"/>
          <w:szCs w:val="23"/>
        </w:rPr>
        <w:t>【适用于乙方受托处置情形】乙方确认已知悉甲方的处置管理规范及要求，乙方承诺按照本协议约定及甲方处置规范及要求依法合规对标的资产进行管理与维护，承诺确保相关现金处置收入全部进入甲方指定账户并按照甲方指示交付非现金处置收入。</w:t>
      </w:r>
    </w:p>
    <w:p w14:paraId="54ED3A5A">
      <w:pPr>
        <w:pStyle w:val="32"/>
        <w:numPr>
          <w:ilvl w:val="1"/>
          <w:numId w:val="4"/>
        </w:numPr>
        <w:spacing w:after="240" w:afterLines="100" w:line="300" w:lineRule="auto"/>
        <w:jc w:val="both"/>
        <w:outlineLvl w:val="1"/>
        <w:rPr>
          <w:rFonts w:hAnsi="宋体"/>
          <w:kern w:val="2"/>
          <w:sz w:val="23"/>
          <w:szCs w:val="23"/>
        </w:rPr>
      </w:pPr>
      <w:r>
        <w:rPr>
          <w:rFonts w:hint="eastAsia" w:ascii="Times New Roman"/>
          <w:kern w:val="2"/>
          <w:sz w:val="23"/>
          <w:szCs w:val="23"/>
        </w:rPr>
        <w:t>【乙方在此不可撤销地承诺因违反本协议约定义务时，甲方可以向征信机构、银行业协会报送乙方违约失信信息。并且，乙方不可撤销地确认相关银行业协会有权通过银行业协会认为适宜的方式对乙方失信信息在金融机构之间共享乃至向社会公示。同时，乙方自愿接受甲方等金融机构联合采取调减或停止授信、停止开立新的结算账户、停办法定代表人新的信用卡等联合失信惩戒维权措施。】</w:t>
      </w:r>
    </w:p>
    <w:p w14:paraId="4549F1B0">
      <w:pPr>
        <w:pStyle w:val="32"/>
        <w:numPr>
          <w:ilvl w:val="0"/>
          <w:numId w:val="4"/>
        </w:numPr>
        <w:spacing w:after="240" w:afterLines="100" w:line="300" w:lineRule="auto"/>
        <w:jc w:val="both"/>
        <w:outlineLvl w:val="0"/>
        <w:rPr>
          <w:rFonts w:ascii="Times New Roman"/>
          <w:b/>
          <w:bCs/>
          <w:color w:val="auto"/>
          <w:kern w:val="2"/>
          <w:sz w:val="23"/>
          <w:szCs w:val="28"/>
        </w:rPr>
      </w:pPr>
      <w:bookmarkStart w:id="33" w:name="_Ref468045557"/>
      <w:bookmarkStart w:id="34" w:name="_Toc240895606"/>
      <w:bookmarkStart w:id="35" w:name="_Toc467844819"/>
      <w:bookmarkStart w:id="36" w:name="_Ref468053516"/>
      <w:r>
        <w:rPr>
          <w:rFonts w:ascii="Times New Roman"/>
          <w:b/>
          <w:bCs/>
          <w:color w:val="auto"/>
          <w:kern w:val="2"/>
          <w:sz w:val="23"/>
          <w:szCs w:val="28"/>
        </w:rPr>
        <w:t>违约</w:t>
      </w:r>
      <w:bookmarkEnd w:id="33"/>
      <w:r>
        <w:rPr>
          <w:rFonts w:hint="eastAsia" w:ascii="Times New Roman"/>
          <w:b/>
          <w:bCs/>
          <w:color w:val="auto"/>
          <w:kern w:val="2"/>
          <w:sz w:val="23"/>
          <w:szCs w:val="28"/>
        </w:rPr>
        <w:t>责任</w:t>
      </w:r>
      <w:bookmarkEnd w:id="34"/>
    </w:p>
    <w:p w14:paraId="5DA19C48">
      <w:pPr>
        <w:pStyle w:val="32"/>
        <w:numPr>
          <w:ilvl w:val="1"/>
          <w:numId w:val="4"/>
        </w:numPr>
        <w:spacing w:after="240" w:afterLines="100" w:line="300" w:lineRule="auto"/>
        <w:jc w:val="both"/>
        <w:outlineLvl w:val="1"/>
        <w:rPr>
          <w:rFonts w:ascii="Times New Roman"/>
          <w:color w:val="auto"/>
          <w:sz w:val="23"/>
        </w:rPr>
      </w:pPr>
      <w:bookmarkStart w:id="37" w:name="_Ref468045639"/>
      <w:r>
        <w:rPr>
          <w:rFonts w:hint="eastAsia" w:ascii="Times New Roman"/>
          <w:color w:val="auto"/>
          <w:sz w:val="23"/>
        </w:rPr>
        <w:t>如乙方违反其在本协议项下的任何义务（包括但</w:t>
      </w:r>
      <w:r>
        <w:rPr>
          <w:rFonts w:ascii="Times New Roman"/>
          <w:color w:val="auto"/>
          <w:sz w:val="23"/>
        </w:rPr>
        <w:t>不限于</w:t>
      </w:r>
      <w:r>
        <w:rPr>
          <w:rFonts w:hint="eastAsia" w:ascii="Times New Roman"/>
          <w:color w:val="auto"/>
          <w:sz w:val="23"/>
        </w:rPr>
        <w:t>乙方未能履行第4条、第5条、</w:t>
      </w:r>
      <w:r>
        <w:rPr>
          <w:rFonts w:ascii="Times New Roman"/>
          <w:color w:val="auto"/>
          <w:sz w:val="23"/>
        </w:rPr>
        <w:t>第</w:t>
      </w:r>
      <w:r>
        <w:rPr>
          <w:rFonts w:hint="eastAsia" w:ascii="Times New Roman"/>
          <w:color w:val="auto"/>
          <w:sz w:val="23"/>
        </w:rPr>
        <w:t>6条项下乙方的任何义务）或违反其在第</w:t>
      </w:r>
      <w:r>
        <w:rPr>
          <w:rFonts w:ascii="Times New Roman"/>
          <w:color w:val="auto"/>
          <w:sz w:val="23"/>
        </w:rPr>
        <w:t>1</w:t>
      </w:r>
      <w:r>
        <w:rPr>
          <w:rFonts w:hint="eastAsia" w:ascii="Times New Roman"/>
          <w:color w:val="auto"/>
          <w:sz w:val="23"/>
        </w:rPr>
        <w:t>0条项下所作的任何声明和保证，</w:t>
      </w:r>
      <w:r>
        <w:rPr>
          <w:rFonts w:ascii="Times New Roman"/>
          <w:color w:val="auto"/>
          <w:sz w:val="23"/>
        </w:rPr>
        <w:t>甲方有权</w:t>
      </w:r>
      <w:bookmarkEnd w:id="37"/>
      <w:r>
        <w:rPr>
          <w:rFonts w:hint="eastAsia" w:ascii="Times New Roman"/>
          <w:color w:val="auto"/>
          <w:sz w:val="23"/>
        </w:rPr>
        <w:t>选择同时或单独行使下列一项或多项权利：</w:t>
      </w:r>
    </w:p>
    <w:p w14:paraId="6D0C7705">
      <w:pPr>
        <w:pStyle w:val="38"/>
        <w:numPr>
          <w:ilvl w:val="2"/>
          <w:numId w:val="12"/>
        </w:numPr>
        <w:tabs>
          <w:tab w:val="left" w:pos="851"/>
        </w:tabs>
        <w:spacing w:after="240" w:afterLines="100" w:line="300" w:lineRule="auto"/>
        <w:jc w:val="both"/>
        <w:rPr>
          <w:rFonts w:ascii="Times New Roman"/>
          <w:kern w:val="2"/>
          <w:sz w:val="23"/>
        </w:rPr>
      </w:pPr>
      <w:bookmarkStart w:id="38" w:name="_Ref468045562"/>
      <w:r>
        <w:rPr>
          <w:rFonts w:hint="eastAsia" w:ascii="Times New Roman"/>
          <w:kern w:val="2"/>
          <w:sz w:val="23"/>
        </w:rPr>
        <w:t>单方解除本协议。</w:t>
      </w:r>
    </w:p>
    <w:p w14:paraId="7D9B24F1">
      <w:pPr>
        <w:pStyle w:val="38"/>
        <w:numPr>
          <w:ilvl w:val="2"/>
          <w:numId w:val="12"/>
        </w:numPr>
        <w:tabs>
          <w:tab w:val="left" w:pos="851"/>
        </w:tabs>
        <w:spacing w:after="240" w:afterLines="100" w:line="300" w:lineRule="auto"/>
        <w:jc w:val="both"/>
        <w:rPr>
          <w:rFonts w:ascii="Times New Roman"/>
          <w:kern w:val="2"/>
          <w:sz w:val="23"/>
        </w:rPr>
      </w:pPr>
      <w:r>
        <w:rPr>
          <w:rFonts w:hint="eastAsia" w:ascii="Times New Roman"/>
          <w:kern w:val="2"/>
          <w:sz w:val="23"/>
        </w:rPr>
        <w:t>要求乙方继续严格履行本协议并采取补救措施。</w:t>
      </w:r>
    </w:p>
    <w:p w14:paraId="5C05E3A7">
      <w:pPr>
        <w:pStyle w:val="38"/>
        <w:numPr>
          <w:ilvl w:val="2"/>
          <w:numId w:val="12"/>
        </w:numPr>
        <w:tabs>
          <w:tab w:val="left" w:pos="851"/>
        </w:tabs>
        <w:spacing w:after="240" w:afterLines="100" w:line="300" w:lineRule="auto"/>
        <w:jc w:val="both"/>
        <w:rPr>
          <w:rFonts w:ascii="Times New Roman"/>
          <w:kern w:val="2"/>
          <w:sz w:val="23"/>
        </w:rPr>
      </w:pPr>
      <w:r>
        <w:rPr>
          <w:rFonts w:hint="eastAsia" w:ascii="Times New Roman"/>
          <w:sz w:val="23"/>
        </w:rPr>
        <w:t>要求乙方立即支付剩余全部转让价款、资金占用费及其他全部乙方承担费用。</w:t>
      </w:r>
    </w:p>
    <w:p w14:paraId="3158BF00">
      <w:pPr>
        <w:pStyle w:val="38"/>
        <w:numPr>
          <w:ilvl w:val="2"/>
          <w:numId w:val="12"/>
        </w:numPr>
        <w:tabs>
          <w:tab w:val="left" w:pos="851"/>
        </w:tabs>
        <w:spacing w:after="240" w:afterLines="100" w:line="300" w:lineRule="auto"/>
        <w:jc w:val="both"/>
        <w:rPr>
          <w:rFonts w:ascii="Times New Roman"/>
          <w:kern w:val="2"/>
          <w:sz w:val="23"/>
        </w:rPr>
      </w:pPr>
      <w:r>
        <w:rPr>
          <w:rFonts w:hint="eastAsia" w:ascii="Times New Roman"/>
          <w:kern w:val="2"/>
          <w:sz w:val="23"/>
        </w:rPr>
        <w:t>要求乙方就【逾期未支付的应付款金额】按</w:t>
      </w:r>
      <w:r>
        <w:rPr>
          <w:rFonts w:ascii="Times New Roman"/>
          <w:kern w:val="2"/>
          <w:sz w:val="23"/>
        </w:rPr>
        <w:t>每日</w:t>
      </w:r>
      <w:r>
        <w:rPr>
          <w:rFonts w:hint="eastAsia" w:ascii="Times New Roman"/>
          <w:kern w:val="2"/>
          <w:sz w:val="23"/>
        </w:rPr>
        <w:t>万分之【五】</w:t>
      </w:r>
      <w:r>
        <w:rPr>
          <w:rFonts w:ascii="Times New Roman"/>
          <w:kern w:val="2"/>
          <w:sz w:val="23"/>
        </w:rPr>
        <w:t>向</w:t>
      </w:r>
      <w:r>
        <w:rPr>
          <w:rFonts w:hint="eastAsia" w:ascii="Times New Roman"/>
          <w:kern w:val="2"/>
          <w:sz w:val="23"/>
        </w:rPr>
        <w:t>甲方</w:t>
      </w:r>
      <w:r>
        <w:rPr>
          <w:rFonts w:ascii="Times New Roman"/>
          <w:kern w:val="2"/>
          <w:sz w:val="23"/>
        </w:rPr>
        <w:t>支付违约金。</w:t>
      </w:r>
    </w:p>
    <w:p w14:paraId="697D6A7F">
      <w:pPr>
        <w:pStyle w:val="38"/>
        <w:numPr>
          <w:ilvl w:val="2"/>
          <w:numId w:val="12"/>
        </w:numPr>
        <w:tabs>
          <w:tab w:val="left" w:pos="851"/>
        </w:tabs>
        <w:spacing w:after="240" w:afterLines="100" w:line="300" w:lineRule="auto"/>
        <w:jc w:val="both"/>
        <w:rPr>
          <w:rFonts w:ascii="Times New Roman"/>
          <w:kern w:val="2"/>
          <w:sz w:val="23"/>
        </w:rPr>
      </w:pPr>
      <w:r>
        <w:rPr>
          <w:rFonts w:hint="eastAsia" w:ascii="Times New Roman"/>
          <w:kern w:val="2"/>
          <w:sz w:val="23"/>
        </w:rPr>
        <w:t>要求乙方按照【转让价款总额】的【5】%支付违约金。</w:t>
      </w:r>
    </w:p>
    <w:p w14:paraId="3B4DA64B">
      <w:pPr>
        <w:pStyle w:val="103"/>
        <w:numPr>
          <w:ilvl w:val="2"/>
          <w:numId w:val="12"/>
        </w:numPr>
        <w:spacing w:after="240" w:afterLines="100" w:line="300" w:lineRule="auto"/>
        <w:ind w:firstLineChars="0"/>
        <w:rPr>
          <w:rFonts w:ascii="Times New Roman" w:hAnsi="Times New Roman"/>
          <w:sz w:val="23"/>
          <w:szCs w:val="24"/>
        </w:rPr>
      </w:pPr>
      <w:r>
        <w:rPr>
          <w:rFonts w:hint="eastAsia" w:ascii="Times New Roman" w:hAnsi="Times New Roman"/>
          <w:sz w:val="23"/>
          <w:szCs w:val="24"/>
        </w:rPr>
        <w:t>甲方有权对标的债权抵押查封资产进行处置，处置方式包括但不限于司法拍卖等形式，产生现金处置收入，甲方有权就该现金处置收入先行扣除买受人承担费用，之后按照违约金、资金占用费、转让价款的顺序进行扣抵</w:t>
      </w:r>
    </w:p>
    <w:p w14:paraId="16919022">
      <w:pPr>
        <w:pStyle w:val="103"/>
        <w:numPr>
          <w:ilvl w:val="2"/>
          <w:numId w:val="12"/>
        </w:numPr>
        <w:ind w:firstLineChars="0"/>
        <w:rPr>
          <w:rFonts w:ascii="Times New Roman" w:hAnsi="Times New Roman"/>
          <w:sz w:val="23"/>
          <w:szCs w:val="24"/>
        </w:rPr>
      </w:pPr>
      <w:r>
        <w:rPr>
          <w:rFonts w:hint="eastAsia" w:ascii="Times New Roman" w:hAnsi="Times New Roman"/>
          <w:sz w:val="23"/>
          <w:szCs w:val="24"/>
        </w:rPr>
        <w:t>甲方有权单方解除委托关系及相关协议文件</w:t>
      </w:r>
    </w:p>
    <w:p w14:paraId="01464879">
      <w:pPr>
        <w:pStyle w:val="32"/>
      </w:pPr>
    </w:p>
    <w:p w14:paraId="605BBB8F">
      <w:pPr>
        <w:pStyle w:val="32"/>
        <w:spacing w:after="240" w:afterLines="100" w:line="300" w:lineRule="auto"/>
        <w:ind w:left="709"/>
        <w:jc w:val="both"/>
        <w:outlineLvl w:val="1"/>
        <w:rPr>
          <w:rFonts w:ascii="Times New Roman"/>
          <w:color w:val="auto"/>
          <w:sz w:val="23"/>
        </w:rPr>
      </w:pPr>
      <w:r>
        <w:rPr>
          <w:rFonts w:hint="eastAsia" w:ascii="Times New Roman"/>
          <w:color w:val="auto"/>
          <w:sz w:val="23"/>
        </w:rPr>
        <w:t>甲方行使前述权利之后仍不足以弥补其所遭受的损失的，仍有权要求乙方承担损害赔偿责任。就转让价款、资金占用费、服务费、违约金或赔偿款等各类乙方应付未付款项，甲方有权自行从乙方已交纳的保证金和转让价款等乙方已交纳款项中</w:t>
      </w:r>
      <w:r>
        <w:rPr>
          <w:rFonts w:ascii="Times New Roman"/>
          <w:color w:val="auto"/>
          <w:sz w:val="23"/>
        </w:rPr>
        <w:t>扣收</w:t>
      </w:r>
      <w:r>
        <w:rPr>
          <w:rFonts w:hint="eastAsia" w:ascii="Times New Roman"/>
          <w:color w:val="auto"/>
          <w:sz w:val="23"/>
        </w:rPr>
        <w:t>，乙方不得要求返还。抵扣后仍存在乙方应付未付款项的，甲方有权继续向乙方追索。</w:t>
      </w:r>
    </w:p>
    <w:p w14:paraId="3C6E6554">
      <w:pPr>
        <w:pStyle w:val="32"/>
        <w:numPr>
          <w:ilvl w:val="1"/>
          <w:numId w:val="4"/>
        </w:numPr>
        <w:spacing w:after="240" w:afterLines="100" w:line="300" w:lineRule="auto"/>
        <w:jc w:val="both"/>
        <w:outlineLvl w:val="1"/>
        <w:rPr>
          <w:rFonts w:ascii="Times New Roman"/>
          <w:color w:val="auto"/>
          <w:sz w:val="23"/>
        </w:rPr>
      </w:pPr>
      <w:r>
        <w:rPr>
          <w:rFonts w:hint="eastAsia" w:ascii="Times New Roman"/>
          <w:color w:val="auto"/>
          <w:sz w:val="23"/>
        </w:rPr>
        <w:t>如本协议一方发生其他任何违反本协议项下义务或责任的行为，违约一方应当承担违约责任，赔偿另一方的损失。</w:t>
      </w:r>
    </w:p>
    <w:bookmarkEnd w:id="38"/>
    <w:p w14:paraId="64893E7F">
      <w:pPr>
        <w:pStyle w:val="32"/>
        <w:numPr>
          <w:ilvl w:val="0"/>
          <w:numId w:val="4"/>
        </w:numPr>
        <w:spacing w:after="240" w:afterLines="100" w:line="300" w:lineRule="auto"/>
        <w:jc w:val="both"/>
        <w:outlineLvl w:val="0"/>
        <w:rPr>
          <w:rFonts w:ascii="Times New Roman"/>
          <w:b/>
          <w:bCs/>
          <w:color w:val="auto"/>
          <w:kern w:val="2"/>
          <w:sz w:val="23"/>
          <w:szCs w:val="28"/>
        </w:rPr>
      </w:pPr>
      <w:bookmarkStart w:id="39" w:name="_Toc467427788"/>
      <w:bookmarkStart w:id="40" w:name="_Toc240895607"/>
      <w:bookmarkStart w:id="41" w:name="_Toc494226013"/>
      <w:r>
        <w:rPr>
          <w:rFonts w:ascii="Times New Roman"/>
          <w:b/>
          <w:bCs/>
          <w:color w:val="auto"/>
          <w:kern w:val="2"/>
          <w:sz w:val="23"/>
          <w:szCs w:val="28"/>
        </w:rPr>
        <w:t>不可抗力</w:t>
      </w:r>
      <w:bookmarkEnd w:id="39"/>
      <w:bookmarkEnd w:id="40"/>
      <w:bookmarkEnd w:id="41"/>
    </w:p>
    <w:p w14:paraId="7B088156">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不可抗力，系指地震、台风、水灾、火灾、战争等不能预见、不能避免并不能克服的，直接影响本协议履行的事件。如果出现不可抗力，双方在本协议中的义务在不可抗力影响范围及其持续期间内将中止履行。协议期限可根据中止的期限作相应延长，但须双方协商一致。任何一方均不会因此而承担违约责任。但是，一方迟延履行本协议同时发生了不可抗力，迟延方的违约责任不能免除。</w:t>
      </w:r>
    </w:p>
    <w:p w14:paraId="2F75D7E5">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受不可抗力影响的一方，应当尽可能采取合理的行为和适当的措施减轻不可抗力对履行本协议所造成的影响。没有采取适当措施致使损失扩大的，该方不能就扩大损失的部分要求免责。受不可抗力影响一方应在不可抗力事件发生后</w:t>
      </w:r>
      <w:r>
        <w:rPr>
          <w:rFonts w:hint="eastAsia" w:ascii="Times New Roman"/>
          <w:color w:val="auto"/>
          <w:sz w:val="23"/>
        </w:rPr>
        <w:t>【五】</w:t>
      </w:r>
      <w:r>
        <w:rPr>
          <w:rFonts w:ascii="Times New Roman"/>
          <w:color w:val="auto"/>
          <w:sz w:val="23"/>
        </w:rPr>
        <w:t>个工作日内将不能履行本协议的原因书面通知本协议其他方，并提供有效的证明文件。不可抗力影响结束后，受影响一方应在</w:t>
      </w:r>
      <w:r>
        <w:rPr>
          <w:rFonts w:hint="eastAsia" w:ascii="Times New Roman"/>
          <w:color w:val="auto"/>
          <w:sz w:val="23"/>
        </w:rPr>
        <w:t>【五】</w:t>
      </w:r>
      <w:r>
        <w:rPr>
          <w:rFonts w:ascii="Times New Roman"/>
          <w:color w:val="auto"/>
          <w:sz w:val="23"/>
        </w:rPr>
        <w:t>个工作日内书面通知本协议其他方。</w:t>
      </w:r>
    </w:p>
    <w:p w14:paraId="6FF9A03C">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如果不可抗力影响超过</w:t>
      </w:r>
      <w:r>
        <w:rPr>
          <w:rFonts w:hint="eastAsia" w:ascii="Times New Roman"/>
          <w:color w:val="auto"/>
          <w:sz w:val="23"/>
        </w:rPr>
        <w:t>3</w:t>
      </w:r>
      <w:r>
        <w:rPr>
          <w:rFonts w:ascii="Times New Roman"/>
          <w:color w:val="auto"/>
          <w:sz w:val="23"/>
        </w:rPr>
        <w:t>0日，双方可协商解决此后的协议执行问题。如果双方在相应顺延的</w:t>
      </w:r>
      <w:r>
        <w:rPr>
          <w:rFonts w:hint="eastAsia" w:ascii="Times New Roman"/>
          <w:color w:val="auto"/>
          <w:sz w:val="23"/>
        </w:rPr>
        <w:t>3</w:t>
      </w:r>
      <w:r>
        <w:rPr>
          <w:rFonts w:ascii="Times New Roman"/>
          <w:color w:val="auto"/>
          <w:sz w:val="23"/>
        </w:rPr>
        <w:t>0日内未能协商一致，</w:t>
      </w:r>
      <w:r>
        <w:rPr>
          <w:rFonts w:hint="eastAsia" w:ascii="Times New Roman"/>
          <w:color w:val="auto"/>
          <w:sz w:val="23"/>
        </w:rPr>
        <w:t>甲</w:t>
      </w:r>
      <w:r>
        <w:rPr>
          <w:rFonts w:ascii="Times New Roman"/>
          <w:color w:val="auto"/>
          <w:sz w:val="23"/>
        </w:rPr>
        <w:t>方有权解除协议。</w:t>
      </w:r>
    </w:p>
    <w:p w14:paraId="1BC375F8">
      <w:pPr>
        <w:pStyle w:val="21"/>
        <w:numPr>
          <w:ilvl w:val="0"/>
          <w:numId w:val="4"/>
        </w:numPr>
        <w:spacing w:after="240" w:afterLines="100" w:line="300" w:lineRule="auto"/>
        <w:ind w:leftChars="0"/>
        <w:outlineLvl w:val="0"/>
        <w:rPr>
          <w:b/>
          <w:bCs/>
          <w:sz w:val="23"/>
          <w:szCs w:val="28"/>
        </w:rPr>
      </w:pPr>
      <w:bookmarkStart w:id="42" w:name="_Toc240895608"/>
      <w:bookmarkStart w:id="43" w:name="_Toc467427791"/>
      <w:r>
        <w:rPr>
          <w:b/>
          <w:bCs/>
          <w:sz w:val="23"/>
          <w:szCs w:val="28"/>
        </w:rPr>
        <w:t>保密</w:t>
      </w:r>
      <w:bookmarkEnd w:id="42"/>
      <w:bookmarkEnd w:id="43"/>
    </w:p>
    <w:p w14:paraId="0C6D8E33">
      <w:pPr>
        <w:pStyle w:val="21"/>
        <w:numPr>
          <w:ilvl w:val="1"/>
          <w:numId w:val="4"/>
        </w:numPr>
        <w:spacing w:after="240" w:afterLines="100" w:line="300" w:lineRule="auto"/>
        <w:ind w:leftChars="0"/>
        <w:outlineLvl w:val="1"/>
        <w:rPr>
          <w:bCs/>
          <w:sz w:val="23"/>
          <w:szCs w:val="28"/>
        </w:rPr>
      </w:pPr>
      <w:r>
        <w:rPr>
          <w:bCs/>
          <w:sz w:val="23"/>
          <w:szCs w:val="28"/>
        </w:rPr>
        <w:t>基于本次交易所获得的包括本协议在内的任何文件资料、商业信息或任何一方的商业秘密，未经披露一方事先书面同意，接收一方不得向任何第三方（不包括与本次交易有关而需要获知以上信息的接收方的雇员、高级职员和董事等）披露此类信息，非因履行本协议及本次交易之其他文件之需要，亦不得以任何方式自行使用该等信息，但以下情况除外：</w:t>
      </w:r>
      <w:r>
        <w:rPr>
          <w:rFonts w:hint="eastAsia"/>
          <w:bCs/>
          <w:sz w:val="23"/>
          <w:szCs w:val="28"/>
        </w:rPr>
        <w:t>（1）</w:t>
      </w:r>
      <w:r>
        <w:rPr>
          <w:bCs/>
          <w:sz w:val="23"/>
          <w:szCs w:val="28"/>
        </w:rPr>
        <w:t>向与本协议及本次交易之其他文件有关而需要获知以上信息并承担上述保密义务的律师、会计师、顾问等专业人员披露；</w:t>
      </w:r>
      <w:r>
        <w:rPr>
          <w:rFonts w:hint="eastAsia"/>
          <w:bCs/>
          <w:sz w:val="23"/>
          <w:szCs w:val="28"/>
        </w:rPr>
        <w:t>（2）向任何拟受让标的资产的潜在受让方；（3）</w:t>
      </w:r>
      <w:r>
        <w:rPr>
          <w:bCs/>
          <w:sz w:val="23"/>
          <w:szCs w:val="28"/>
        </w:rPr>
        <w:t>根据适用法律的要求，向有关政府部门或者监管机构披露；</w:t>
      </w:r>
      <w:r>
        <w:rPr>
          <w:rFonts w:hint="eastAsia"/>
          <w:bCs/>
          <w:sz w:val="23"/>
          <w:szCs w:val="28"/>
        </w:rPr>
        <w:t>（</w:t>
      </w:r>
      <w:r>
        <w:rPr>
          <w:bCs/>
          <w:sz w:val="23"/>
          <w:szCs w:val="28"/>
        </w:rPr>
        <w:t>4</w:t>
      </w:r>
      <w:r>
        <w:rPr>
          <w:rFonts w:hint="eastAsia"/>
          <w:bCs/>
          <w:sz w:val="23"/>
          <w:szCs w:val="28"/>
        </w:rPr>
        <w:t>）</w:t>
      </w:r>
      <w:r>
        <w:rPr>
          <w:bCs/>
          <w:sz w:val="23"/>
          <w:szCs w:val="28"/>
        </w:rPr>
        <w:t>该等保密信息非由于一方违反本协议的原因已经进入公共领域而为公众所知悉；以及</w:t>
      </w:r>
      <w:r>
        <w:rPr>
          <w:rFonts w:hint="eastAsia"/>
          <w:bCs/>
          <w:sz w:val="23"/>
          <w:szCs w:val="28"/>
        </w:rPr>
        <w:t>（5）</w:t>
      </w:r>
      <w:r>
        <w:rPr>
          <w:bCs/>
          <w:sz w:val="23"/>
          <w:szCs w:val="28"/>
        </w:rPr>
        <w:t>出现根据法律可以免除保密义务和责任的情形。</w:t>
      </w:r>
    </w:p>
    <w:p w14:paraId="45AF6629">
      <w:pPr>
        <w:pStyle w:val="21"/>
        <w:numPr>
          <w:ilvl w:val="1"/>
          <w:numId w:val="4"/>
        </w:numPr>
        <w:spacing w:after="240" w:afterLines="100" w:line="300" w:lineRule="auto"/>
        <w:ind w:leftChars="0"/>
        <w:outlineLvl w:val="1"/>
        <w:rPr>
          <w:bCs/>
          <w:sz w:val="23"/>
          <w:szCs w:val="28"/>
        </w:rPr>
      </w:pPr>
      <w:r>
        <w:rPr>
          <w:rFonts w:hint="eastAsia"/>
          <w:bCs/>
          <w:sz w:val="23"/>
          <w:szCs w:val="28"/>
        </w:rPr>
        <w:t>乙方按照第13.1款（1）（2）项向有关主体披露信息前，应当与披露对象签订不低于本协议保密义务条款约定标准的保密协议，并且即使乙方与披露对象签署保密协议，披露对象违反协议披露本条约定的信息给甲方造成损失的，乙方仍对甲方负有赔偿责任。</w:t>
      </w:r>
      <w:r>
        <w:rPr>
          <w:bCs/>
          <w:sz w:val="23"/>
          <w:szCs w:val="28"/>
        </w:rPr>
        <w:t>任何一方违反本协议保密义务的，守约方均有权要求违约方赔偿损失。</w:t>
      </w:r>
    </w:p>
    <w:p w14:paraId="0B7C9D1D">
      <w:pPr>
        <w:pStyle w:val="21"/>
        <w:numPr>
          <w:ilvl w:val="1"/>
          <w:numId w:val="4"/>
        </w:numPr>
        <w:spacing w:after="240" w:afterLines="100" w:line="300" w:lineRule="auto"/>
        <w:ind w:leftChars="0"/>
        <w:outlineLvl w:val="1"/>
        <w:rPr>
          <w:bCs/>
          <w:sz w:val="23"/>
          <w:szCs w:val="28"/>
        </w:rPr>
      </w:pPr>
      <w:r>
        <w:rPr>
          <w:rFonts w:hint="eastAsia"/>
          <w:bCs/>
          <w:sz w:val="23"/>
          <w:szCs w:val="28"/>
        </w:rPr>
        <w:t>双</w:t>
      </w:r>
      <w:r>
        <w:rPr>
          <w:bCs/>
          <w:sz w:val="23"/>
          <w:szCs w:val="28"/>
        </w:rPr>
        <w:t>方在本协议项下的保密义务在本协议履行完毕后持续有效。</w:t>
      </w:r>
    </w:p>
    <w:p w14:paraId="2C01207E">
      <w:pPr>
        <w:pStyle w:val="21"/>
        <w:numPr>
          <w:ilvl w:val="1"/>
          <w:numId w:val="4"/>
        </w:numPr>
        <w:spacing w:after="240" w:afterLines="100" w:line="300" w:lineRule="auto"/>
        <w:ind w:leftChars="0"/>
        <w:outlineLvl w:val="1"/>
        <w:rPr>
          <w:bCs/>
          <w:sz w:val="23"/>
          <w:szCs w:val="28"/>
        </w:rPr>
      </w:pPr>
      <w:r>
        <w:rPr>
          <w:bCs/>
          <w:sz w:val="23"/>
          <w:szCs w:val="28"/>
        </w:rPr>
        <w:t>如需要，双方可另行签署相应的保密协议，保密协议与本条款存在不一致的，以保密协议为准。</w:t>
      </w:r>
    </w:p>
    <w:p w14:paraId="720C17B2">
      <w:pPr>
        <w:pStyle w:val="32"/>
        <w:numPr>
          <w:ilvl w:val="1"/>
          <w:numId w:val="4"/>
        </w:numPr>
        <w:spacing w:after="240" w:afterLines="100" w:line="300" w:lineRule="auto"/>
        <w:jc w:val="both"/>
        <w:outlineLvl w:val="1"/>
        <w:rPr>
          <w:bCs/>
          <w:color w:val="auto"/>
          <w:sz w:val="23"/>
        </w:rPr>
      </w:pPr>
      <w:r>
        <w:rPr>
          <w:rFonts w:hint="eastAsia"/>
          <w:bCs/>
          <w:color w:val="auto"/>
          <w:sz w:val="23"/>
        </w:rPr>
        <w:t>乙方特别声明，乙方在签订及履行本协议过程中所涉及的符合《征信业管理条例》规定的信用信息，甲方有权利采集、整理、保存、加工及向甲方的监管机构或任何政府机关提供、披露、报送；甲方也有权利向中国人民银行征信中心和其他任何具有全国影响力的征信机构披露、提供、报送。甲方的上述行为不视为甲方违反保密义务。</w:t>
      </w:r>
    </w:p>
    <w:p w14:paraId="2FF67E88">
      <w:pPr>
        <w:pStyle w:val="21"/>
        <w:numPr>
          <w:ilvl w:val="0"/>
          <w:numId w:val="4"/>
        </w:numPr>
        <w:adjustRightInd w:val="0"/>
        <w:snapToGrid w:val="0"/>
        <w:spacing w:after="240" w:afterLines="100" w:line="300" w:lineRule="auto"/>
        <w:ind w:leftChars="0"/>
        <w:outlineLvl w:val="0"/>
        <w:rPr>
          <w:b/>
          <w:sz w:val="23"/>
        </w:rPr>
      </w:pPr>
      <w:bookmarkStart w:id="44" w:name="_Toc240895609"/>
      <w:bookmarkStart w:id="45" w:name="_Toc467427792"/>
      <w:r>
        <w:rPr>
          <w:b/>
          <w:sz w:val="23"/>
        </w:rPr>
        <w:t>权利保留</w:t>
      </w:r>
      <w:bookmarkEnd w:id="44"/>
      <w:bookmarkEnd w:id="45"/>
    </w:p>
    <w:p w14:paraId="0DEFF9B9">
      <w:pPr>
        <w:pStyle w:val="21"/>
        <w:numPr>
          <w:ilvl w:val="1"/>
          <w:numId w:val="4"/>
        </w:numPr>
        <w:adjustRightInd w:val="0"/>
        <w:snapToGrid w:val="0"/>
        <w:spacing w:before="60" w:beforeLines="25" w:after="240" w:afterLines="100" w:line="300" w:lineRule="auto"/>
        <w:ind w:leftChars="0"/>
        <w:outlineLvl w:val="1"/>
        <w:rPr>
          <w:sz w:val="23"/>
        </w:rPr>
      </w:pPr>
      <w:r>
        <w:rPr>
          <w:sz w:val="23"/>
        </w:rPr>
        <w:t>一方没有行使其权利或没有就另一方的违约行为采取任何行动，不应被视为对权利的放弃或对追究违约责任或义务的放弃。任何一方放弃针对另一方的任何权利或放弃追究另一方的任何责任，不应视为放弃对另一方任何其他权利或任何其他过失的追究。所有权利放弃均应书面作出。</w:t>
      </w:r>
    </w:p>
    <w:p w14:paraId="07A5D958">
      <w:pPr>
        <w:pStyle w:val="21"/>
        <w:numPr>
          <w:ilvl w:val="1"/>
          <w:numId w:val="4"/>
        </w:numPr>
        <w:adjustRightInd w:val="0"/>
        <w:snapToGrid w:val="0"/>
        <w:spacing w:before="60" w:beforeLines="25" w:after="240" w:afterLines="100" w:line="300" w:lineRule="auto"/>
        <w:ind w:leftChars="0"/>
        <w:outlineLvl w:val="1"/>
        <w:rPr>
          <w:sz w:val="23"/>
        </w:rPr>
      </w:pPr>
      <w:r>
        <w:rPr>
          <w:sz w:val="23"/>
        </w:rPr>
        <w:t>如果本协议的任何约定依现行法律被确定为无效或无法实施，本协议的其他条款将继续有效。此种情况下，本协议的其他条款的合法性、有效性和强制执行力不受影响，且</w:t>
      </w:r>
      <w:r>
        <w:rPr>
          <w:rFonts w:hint="eastAsia"/>
          <w:sz w:val="23"/>
        </w:rPr>
        <w:t>双</w:t>
      </w:r>
      <w:r>
        <w:rPr>
          <w:sz w:val="23"/>
        </w:rPr>
        <w:t>方将以有效的约定替换该约定，且该有效约定应尽可能接近原约定和本协议相应的目的和精神。</w:t>
      </w:r>
    </w:p>
    <w:p w14:paraId="051BB02F">
      <w:pPr>
        <w:pStyle w:val="32"/>
        <w:numPr>
          <w:ilvl w:val="0"/>
          <w:numId w:val="4"/>
        </w:numPr>
        <w:spacing w:after="240" w:afterLines="100" w:line="300" w:lineRule="auto"/>
        <w:jc w:val="both"/>
        <w:outlineLvl w:val="0"/>
        <w:rPr>
          <w:rFonts w:ascii="Times New Roman"/>
          <w:b/>
          <w:bCs/>
          <w:color w:val="auto"/>
          <w:kern w:val="2"/>
          <w:sz w:val="23"/>
          <w:szCs w:val="28"/>
        </w:rPr>
      </w:pPr>
      <w:bookmarkStart w:id="46" w:name="_Toc240895610"/>
      <w:r>
        <w:rPr>
          <w:rFonts w:ascii="Times New Roman"/>
          <w:b/>
          <w:bCs/>
          <w:color w:val="auto"/>
          <w:kern w:val="2"/>
          <w:sz w:val="23"/>
          <w:szCs w:val="28"/>
        </w:rPr>
        <w:t>权利</w:t>
      </w:r>
      <w:r>
        <w:rPr>
          <w:rFonts w:hint="eastAsia" w:ascii="Times New Roman"/>
          <w:b/>
          <w:bCs/>
          <w:color w:val="auto"/>
          <w:kern w:val="2"/>
          <w:sz w:val="23"/>
          <w:szCs w:val="28"/>
        </w:rPr>
        <w:t>、</w:t>
      </w:r>
      <w:r>
        <w:rPr>
          <w:rFonts w:ascii="Times New Roman"/>
          <w:b/>
          <w:bCs/>
          <w:color w:val="auto"/>
          <w:kern w:val="2"/>
          <w:sz w:val="23"/>
          <w:szCs w:val="28"/>
        </w:rPr>
        <w:t>义务</w:t>
      </w:r>
      <w:bookmarkEnd w:id="35"/>
      <w:bookmarkEnd w:id="36"/>
      <w:r>
        <w:rPr>
          <w:rFonts w:hint="eastAsia" w:ascii="Times New Roman"/>
          <w:b/>
          <w:bCs/>
          <w:color w:val="auto"/>
          <w:kern w:val="2"/>
          <w:sz w:val="23"/>
          <w:szCs w:val="28"/>
        </w:rPr>
        <w:t>的</w:t>
      </w:r>
      <w:r>
        <w:rPr>
          <w:rFonts w:ascii="Times New Roman"/>
          <w:b/>
          <w:bCs/>
          <w:color w:val="auto"/>
          <w:kern w:val="2"/>
          <w:sz w:val="23"/>
          <w:szCs w:val="28"/>
        </w:rPr>
        <w:t>转让</w:t>
      </w:r>
      <w:bookmarkEnd w:id="46"/>
    </w:p>
    <w:p w14:paraId="6D35BB22">
      <w:pPr>
        <w:pStyle w:val="32"/>
        <w:numPr>
          <w:ilvl w:val="1"/>
          <w:numId w:val="4"/>
        </w:numPr>
        <w:spacing w:after="240" w:afterLines="100" w:line="300" w:lineRule="auto"/>
        <w:jc w:val="both"/>
        <w:outlineLvl w:val="1"/>
        <w:rPr>
          <w:rFonts w:ascii="Times New Roman"/>
          <w:color w:val="auto"/>
          <w:sz w:val="23"/>
        </w:rPr>
      </w:pPr>
      <w:r>
        <w:rPr>
          <w:rFonts w:hint="eastAsia" w:ascii="Times New Roman"/>
          <w:color w:val="auto"/>
          <w:sz w:val="23"/>
        </w:rPr>
        <w:t>双</w:t>
      </w:r>
      <w:r>
        <w:rPr>
          <w:rFonts w:ascii="Times New Roman"/>
          <w:color w:val="auto"/>
          <w:sz w:val="23"/>
        </w:rPr>
        <w:t>方同意，</w:t>
      </w:r>
      <w:r>
        <w:rPr>
          <w:rFonts w:hint="eastAsia" w:ascii="Times New Roman"/>
          <w:color w:val="auto"/>
          <w:sz w:val="23"/>
        </w:rPr>
        <w:t>甲方</w:t>
      </w:r>
      <w:r>
        <w:rPr>
          <w:rFonts w:ascii="Times New Roman"/>
          <w:color w:val="auto"/>
          <w:sz w:val="23"/>
        </w:rPr>
        <w:t>向第三方转让其在本协议项下全部或部分权利和</w:t>
      </w:r>
      <w:r>
        <w:rPr>
          <w:rFonts w:hint="eastAsia" w:ascii="Times New Roman"/>
          <w:color w:val="auto"/>
          <w:sz w:val="23"/>
        </w:rPr>
        <w:t>/或</w:t>
      </w:r>
      <w:r>
        <w:rPr>
          <w:rFonts w:ascii="Times New Roman"/>
          <w:color w:val="auto"/>
          <w:sz w:val="23"/>
        </w:rPr>
        <w:t>义务时，仅需向乙方履行通知义务，无需再次征得乙方同意。</w:t>
      </w:r>
    </w:p>
    <w:p w14:paraId="3726E19E">
      <w:pPr>
        <w:pStyle w:val="32"/>
        <w:numPr>
          <w:ilvl w:val="1"/>
          <w:numId w:val="4"/>
        </w:numPr>
        <w:spacing w:after="240" w:afterLines="100" w:line="300" w:lineRule="auto"/>
        <w:jc w:val="both"/>
        <w:outlineLvl w:val="1"/>
        <w:rPr>
          <w:rFonts w:ascii="Times New Roman"/>
          <w:color w:val="auto"/>
          <w:sz w:val="23"/>
        </w:rPr>
      </w:pPr>
      <w:r>
        <w:rPr>
          <w:rFonts w:ascii="Times New Roman"/>
          <w:color w:val="auto"/>
          <w:sz w:val="23"/>
        </w:rPr>
        <w:t>就乙方而言，未经</w:t>
      </w:r>
      <w:r>
        <w:rPr>
          <w:rFonts w:hint="eastAsia" w:ascii="Times New Roman"/>
          <w:color w:val="auto"/>
          <w:sz w:val="23"/>
        </w:rPr>
        <w:t>甲方书面</w:t>
      </w:r>
      <w:r>
        <w:rPr>
          <w:rFonts w:ascii="Times New Roman"/>
          <w:color w:val="auto"/>
          <w:sz w:val="23"/>
        </w:rPr>
        <w:t>同意，其不得转让其在本协议项下的任何义务</w:t>
      </w:r>
      <w:r>
        <w:rPr>
          <w:rFonts w:hint="eastAsia" w:ascii="Times New Roman"/>
          <w:color w:val="auto"/>
          <w:sz w:val="23"/>
        </w:rPr>
        <w:t>、</w:t>
      </w:r>
      <w:r>
        <w:rPr>
          <w:rFonts w:ascii="Times New Roman"/>
          <w:color w:val="auto"/>
          <w:sz w:val="23"/>
        </w:rPr>
        <w:t>责任</w:t>
      </w:r>
      <w:r>
        <w:rPr>
          <w:rFonts w:hint="eastAsia" w:ascii="Times New Roman"/>
          <w:color w:val="auto"/>
          <w:sz w:val="23"/>
        </w:rPr>
        <w:t>或权利</w:t>
      </w:r>
      <w:r>
        <w:rPr>
          <w:rFonts w:ascii="Times New Roman"/>
          <w:color w:val="auto"/>
          <w:sz w:val="23"/>
        </w:rPr>
        <w:t>；</w:t>
      </w:r>
      <w:r>
        <w:rPr>
          <w:rFonts w:hint="eastAsia" w:ascii="Times New Roman"/>
          <w:color w:val="auto"/>
          <w:sz w:val="23"/>
        </w:rPr>
        <w:t>乙方</w:t>
      </w:r>
      <w:r>
        <w:rPr>
          <w:rFonts w:ascii="Times New Roman"/>
          <w:color w:val="auto"/>
          <w:sz w:val="23"/>
        </w:rPr>
        <w:t>经</w:t>
      </w:r>
      <w:r>
        <w:rPr>
          <w:rFonts w:hint="eastAsia" w:ascii="Times New Roman"/>
          <w:color w:val="auto"/>
          <w:sz w:val="23"/>
        </w:rPr>
        <w:t>甲</w:t>
      </w:r>
      <w:r>
        <w:rPr>
          <w:rFonts w:ascii="Times New Roman"/>
          <w:color w:val="auto"/>
          <w:sz w:val="23"/>
        </w:rPr>
        <w:t>方同意转让本协议项下义务</w:t>
      </w:r>
      <w:r>
        <w:rPr>
          <w:rFonts w:hint="eastAsia" w:ascii="Times New Roman"/>
          <w:color w:val="auto"/>
          <w:sz w:val="23"/>
        </w:rPr>
        <w:t>、</w:t>
      </w:r>
      <w:r>
        <w:rPr>
          <w:rFonts w:ascii="Times New Roman"/>
          <w:color w:val="auto"/>
          <w:sz w:val="23"/>
        </w:rPr>
        <w:t>责任</w:t>
      </w:r>
      <w:r>
        <w:rPr>
          <w:rFonts w:hint="eastAsia" w:ascii="Times New Roman"/>
          <w:color w:val="auto"/>
          <w:sz w:val="23"/>
        </w:rPr>
        <w:t>或权利</w:t>
      </w:r>
      <w:r>
        <w:rPr>
          <w:rFonts w:ascii="Times New Roman"/>
          <w:color w:val="auto"/>
          <w:sz w:val="23"/>
        </w:rPr>
        <w:t>的，</w:t>
      </w:r>
      <w:r>
        <w:rPr>
          <w:rFonts w:hint="eastAsia" w:ascii="Times New Roman"/>
          <w:color w:val="auto"/>
          <w:sz w:val="23"/>
        </w:rPr>
        <w:t>乙</w:t>
      </w:r>
      <w:r>
        <w:rPr>
          <w:rFonts w:ascii="Times New Roman"/>
          <w:color w:val="auto"/>
          <w:sz w:val="23"/>
        </w:rPr>
        <w:t>方应根据</w:t>
      </w:r>
      <w:r>
        <w:rPr>
          <w:rFonts w:hint="eastAsia" w:ascii="Times New Roman"/>
          <w:color w:val="auto"/>
          <w:sz w:val="23"/>
        </w:rPr>
        <w:t>甲</w:t>
      </w:r>
      <w:r>
        <w:rPr>
          <w:rFonts w:ascii="Times New Roman"/>
          <w:color w:val="auto"/>
          <w:sz w:val="23"/>
        </w:rPr>
        <w:t>方的要求签署有关本条所述转让的一切文件，办理有关该转让的任何批准、登记或备案等任何手续，并承担任何因此而发生的</w:t>
      </w:r>
      <w:r>
        <w:rPr>
          <w:rFonts w:hint="eastAsia" w:ascii="Times New Roman"/>
          <w:color w:val="auto"/>
          <w:sz w:val="23"/>
        </w:rPr>
        <w:t>税</w:t>
      </w:r>
      <w:r>
        <w:rPr>
          <w:rFonts w:ascii="Times New Roman"/>
          <w:color w:val="auto"/>
          <w:sz w:val="23"/>
        </w:rPr>
        <w:t>费。</w:t>
      </w:r>
    </w:p>
    <w:p w14:paraId="49F1AF13">
      <w:pPr>
        <w:pStyle w:val="32"/>
        <w:numPr>
          <w:ilvl w:val="0"/>
          <w:numId w:val="4"/>
        </w:numPr>
        <w:spacing w:after="240" w:afterLines="100" w:line="300" w:lineRule="auto"/>
        <w:jc w:val="both"/>
        <w:outlineLvl w:val="0"/>
        <w:rPr>
          <w:rFonts w:ascii="Times New Roman"/>
          <w:b/>
          <w:bCs/>
          <w:color w:val="auto"/>
          <w:kern w:val="2"/>
          <w:sz w:val="23"/>
          <w:szCs w:val="28"/>
        </w:rPr>
      </w:pPr>
      <w:bookmarkStart w:id="47" w:name="_Toc467427794"/>
      <w:bookmarkStart w:id="48" w:name="_Toc494226017"/>
      <w:bookmarkStart w:id="49" w:name="_Toc240895611"/>
      <w:bookmarkStart w:id="50" w:name="_Ref468023922"/>
      <w:r>
        <w:rPr>
          <w:rFonts w:ascii="Times New Roman"/>
          <w:b/>
          <w:bCs/>
          <w:color w:val="auto"/>
          <w:kern w:val="2"/>
          <w:sz w:val="23"/>
          <w:szCs w:val="28"/>
        </w:rPr>
        <w:t>协议</w:t>
      </w:r>
      <w:r>
        <w:rPr>
          <w:rFonts w:hint="eastAsia" w:ascii="Times New Roman"/>
          <w:b/>
          <w:bCs/>
          <w:color w:val="auto"/>
          <w:kern w:val="2"/>
          <w:sz w:val="23"/>
          <w:szCs w:val="28"/>
        </w:rPr>
        <w:t>变更</w:t>
      </w:r>
      <w:r>
        <w:rPr>
          <w:rFonts w:ascii="Times New Roman"/>
          <w:b/>
          <w:bCs/>
          <w:color w:val="auto"/>
          <w:kern w:val="2"/>
          <w:sz w:val="23"/>
          <w:szCs w:val="28"/>
        </w:rPr>
        <w:t>、解除及终止</w:t>
      </w:r>
      <w:bookmarkEnd w:id="47"/>
      <w:bookmarkEnd w:id="48"/>
      <w:bookmarkEnd w:id="49"/>
    </w:p>
    <w:p w14:paraId="1ECE0D55">
      <w:pPr>
        <w:pStyle w:val="32"/>
        <w:numPr>
          <w:ilvl w:val="1"/>
          <w:numId w:val="4"/>
        </w:numPr>
        <w:spacing w:after="240" w:afterLines="100" w:line="300" w:lineRule="auto"/>
        <w:jc w:val="both"/>
        <w:outlineLvl w:val="1"/>
        <w:rPr>
          <w:rFonts w:ascii="Times New Roman"/>
          <w:color w:val="auto"/>
          <w:kern w:val="2"/>
          <w:sz w:val="23"/>
        </w:rPr>
      </w:pPr>
      <w:r>
        <w:rPr>
          <w:rFonts w:hint="eastAsia"/>
          <w:color w:val="auto"/>
          <w:sz w:val="23"/>
        </w:rPr>
        <w:t>本协议如有变更、修改或补充，双方需协商一致并签订书面变更、修改或补充协议，作为本协议的补充，与本协议具有同等法律效力。</w:t>
      </w:r>
    </w:p>
    <w:p w14:paraId="47865FE0">
      <w:pPr>
        <w:pStyle w:val="32"/>
        <w:numPr>
          <w:ilvl w:val="1"/>
          <w:numId w:val="4"/>
        </w:numPr>
        <w:spacing w:after="240" w:afterLines="100" w:line="300" w:lineRule="auto"/>
        <w:jc w:val="both"/>
        <w:outlineLvl w:val="1"/>
        <w:rPr>
          <w:rFonts w:ascii="Times New Roman"/>
          <w:color w:val="auto"/>
          <w:sz w:val="23"/>
        </w:rPr>
      </w:pPr>
      <w:r>
        <w:rPr>
          <w:rFonts w:hint="eastAsia"/>
          <w:color w:val="auto"/>
          <w:sz w:val="23"/>
        </w:rPr>
        <w:t>经双方协商一致并签署书面文件，可解除本协议。</w:t>
      </w:r>
    </w:p>
    <w:p w14:paraId="09CD1F2C">
      <w:pPr>
        <w:pStyle w:val="32"/>
        <w:numPr>
          <w:ilvl w:val="1"/>
          <w:numId w:val="4"/>
        </w:numPr>
        <w:spacing w:after="240" w:afterLines="100" w:line="300" w:lineRule="auto"/>
        <w:jc w:val="both"/>
        <w:outlineLvl w:val="1"/>
        <w:rPr>
          <w:rFonts w:ascii="Times New Roman"/>
          <w:color w:val="auto"/>
          <w:sz w:val="23"/>
        </w:rPr>
      </w:pPr>
      <w:r>
        <w:rPr>
          <w:rFonts w:hint="eastAsia" w:ascii="Times New Roman"/>
          <w:color w:val="auto"/>
          <w:sz w:val="23"/>
        </w:rPr>
        <w:t>涉及甲方根据本协议约定行使单方解除权的情形，本协议将在甲方向乙方发出解除通知之时立即解除，除非甲方的解除通知明确另作要求。</w:t>
      </w:r>
      <w:r>
        <w:rPr>
          <w:rFonts w:hint="eastAsia"/>
          <w:color w:val="auto"/>
          <w:sz w:val="23"/>
        </w:rPr>
        <w:t>甲方解除权的行使期限为甲方知道或者应当知道前述情形之日起【两年】。</w:t>
      </w:r>
    </w:p>
    <w:bookmarkEnd w:id="50"/>
    <w:p w14:paraId="043FB779">
      <w:pPr>
        <w:pStyle w:val="32"/>
        <w:numPr>
          <w:ilvl w:val="1"/>
          <w:numId w:val="4"/>
        </w:numPr>
        <w:spacing w:after="240" w:afterLines="100" w:line="300" w:lineRule="auto"/>
        <w:jc w:val="both"/>
        <w:outlineLvl w:val="1"/>
        <w:rPr>
          <w:rFonts w:ascii="Times New Roman"/>
          <w:color w:val="auto"/>
          <w:sz w:val="23"/>
        </w:rPr>
      </w:pPr>
      <w:r>
        <w:rPr>
          <w:rFonts w:hint="eastAsia" w:ascii="Times New Roman"/>
          <w:color w:val="auto"/>
          <w:sz w:val="23"/>
        </w:rPr>
        <w:t>双方确认，如协议解除，则：</w:t>
      </w:r>
    </w:p>
    <w:p w14:paraId="042CD487">
      <w:pPr>
        <w:numPr>
          <w:ilvl w:val="2"/>
          <w:numId w:val="13"/>
        </w:numPr>
        <w:spacing w:after="240" w:afterLines="100" w:line="300" w:lineRule="auto"/>
        <w:rPr>
          <w:sz w:val="23"/>
          <w:szCs w:val="22"/>
        </w:rPr>
      </w:pPr>
      <w:r>
        <w:rPr>
          <w:rFonts w:hint="eastAsia"/>
          <w:sz w:val="23"/>
          <w:szCs w:val="22"/>
        </w:rPr>
        <w:t>标的资产及其相关权益未交割的不再交割，除第16.5所述继续有效的条款外，协议未履行的其他部分不再履行；</w:t>
      </w:r>
    </w:p>
    <w:p w14:paraId="451097EE">
      <w:pPr>
        <w:numPr>
          <w:ilvl w:val="2"/>
          <w:numId w:val="13"/>
        </w:numPr>
        <w:spacing w:after="240" w:afterLines="100" w:line="300" w:lineRule="auto"/>
        <w:rPr>
          <w:sz w:val="23"/>
          <w:szCs w:val="22"/>
        </w:rPr>
      </w:pPr>
      <w:r>
        <w:rPr>
          <w:rFonts w:hint="eastAsia"/>
          <w:sz w:val="23"/>
          <w:szCs w:val="22"/>
        </w:rPr>
        <w:t>本协议第5条关于过渡期间的处置收入归属及过渡期间处置收入抵扣转让价款及资金占用费等相关约定溯及既往的对各方不具有约束力，包括但不限于过渡期间处置收入及相关权益溯及既往的归属于甲方，以过渡期间处置收入等额抵扣的转让价款或资金占用费应视为未向甲方支付。</w:t>
      </w:r>
    </w:p>
    <w:p w14:paraId="4F7F65BD">
      <w:pPr>
        <w:numPr>
          <w:ilvl w:val="2"/>
          <w:numId w:val="13"/>
        </w:numPr>
        <w:spacing w:after="240" w:afterLines="100" w:line="300" w:lineRule="auto"/>
        <w:rPr>
          <w:sz w:val="23"/>
          <w:szCs w:val="22"/>
        </w:rPr>
      </w:pPr>
      <w:r>
        <w:rPr>
          <w:rFonts w:hint="eastAsia"/>
          <w:sz w:val="23"/>
          <w:szCs w:val="22"/>
        </w:rPr>
        <w:t>如乙方已支付的转让价款及乙方已支付的资金占用费（不包括以处置收入抵扣的转让价款及资金占用费）在扣抵其应支付的违约金、资金占用费等乙方承担费用、损害赔偿金（包括但不限于甲方就标的资产所获得的处置净回收不足以覆盖本协议约定的转让价款、资金占用费及甲方处置期间资金成本之和的差额部分）等款项后仍有余额，甲方在标的资产处置完毕并清算损失后将前述余额（不计利息）退还乙方。</w:t>
      </w:r>
    </w:p>
    <w:p w14:paraId="790CE59B">
      <w:pPr>
        <w:numPr>
          <w:ilvl w:val="2"/>
          <w:numId w:val="13"/>
        </w:numPr>
        <w:spacing w:after="240" w:afterLines="100" w:line="300" w:lineRule="auto"/>
        <w:rPr>
          <w:sz w:val="23"/>
          <w:szCs w:val="22"/>
        </w:rPr>
      </w:pPr>
      <w:r>
        <w:rPr>
          <w:rFonts w:hint="eastAsia"/>
          <w:sz w:val="23"/>
          <w:szCs w:val="22"/>
        </w:rPr>
        <w:t>标的资产及相关权益已交割予乙方的，乙方应将标的资产及相关权益返还甲方，乙方应按照甲方指示完成资产资料移交、变更担保登记、诉讼或执行主体变更、以及发出标的资产转回甲方的通知等与回转权益相关的全部义务。</w:t>
      </w:r>
    </w:p>
    <w:p w14:paraId="45C0979B">
      <w:pPr>
        <w:numPr>
          <w:ilvl w:val="2"/>
          <w:numId w:val="13"/>
        </w:numPr>
        <w:spacing w:after="240" w:afterLines="100" w:line="300" w:lineRule="auto"/>
        <w:rPr>
          <w:sz w:val="23"/>
          <w:szCs w:val="22"/>
        </w:rPr>
      </w:pPr>
      <w:r>
        <w:rPr>
          <w:rFonts w:hint="eastAsia"/>
          <w:sz w:val="23"/>
          <w:szCs w:val="22"/>
        </w:rPr>
        <w:t>如甲方已委托乙方对标的资产进行管理或处置，则委托关系及相关协议文件相应解除。</w:t>
      </w:r>
    </w:p>
    <w:p w14:paraId="10B4EB20">
      <w:pPr>
        <w:numPr>
          <w:ilvl w:val="2"/>
          <w:numId w:val="13"/>
        </w:numPr>
        <w:spacing w:after="240" w:afterLines="100" w:line="300" w:lineRule="auto"/>
        <w:rPr>
          <w:sz w:val="23"/>
          <w:szCs w:val="22"/>
        </w:rPr>
      </w:pPr>
      <w:r>
        <w:rPr>
          <w:rFonts w:hint="eastAsia"/>
          <w:sz w:val="23"/>
          <w:szCs w:val="22"/>
        </w:rPr>
        <w:t>协议的解除，不影响甲方对乙方违约责任及损害赔偿责任的追究。</w:t>
      </w:r>
    </w:p>
    <w:p w14:paraId="19A147E6">
      <w:pPr>
        <w:pStyle w:val="32"/>
        <w:numPr>
          <w:ilvl w:val="1"/>
          <w:numId w:val="4"/>
        </w:numPr>
        <w:spacing w:after="240" w:afterLines="100" w:line="300" w:lineRule="auto"/>
        <w:jc w:val="both"/>
        <w:outlineLvl w:val="1"/>
        <w:rPr>
          <w:rFonts w:ascii="Times New Roman"/>
          <w:bCs/>
          <w:color w:val="auto"/>
          <w:sz w:val="23"/>
          <w:szCs w:val="23"/>
        </w:rPr>
      </w:pPr>
      <w:r>
        <w:rPr>
          <w:rFonts w:hint="eastAsia" w:ascii="Times New Roman"/>
          <w:bCs/>
          <w:color w:val="auto"/>
          <w:sz w:val="23"/>
          <w:szCs w:val="23"/>
        </w:rPr>
        <w:t>本协议因解除而终止时，除本条款（第16条）、定义条款、违约责任条款、保密条款、法律适用和争议解决条款继续有效外，本协议其他条款立即失效，不再具有任何效力。</w:t>
      </w:r>
    </w:p>
    <w:p w14:paraId="6AE8CEE9">
      <w:pPr>
        <w:pStyle w:val="32"/>
        <w:numPr>
          <w:ilvl w:val="0"/>
          <w:numId w:val="4"/>
        </w:numPr>
        <w:spacing w:before="240" w:beforeLines="100" w:after="240" w:afterLines="100" w:line="300" w:lineRule="auto"/>
        <w:ind w:left="780" w:hanging="780" w:hangingChars="338"/>
        <w:jc w:val="both"/>
        <w:outlineLvl w:val="0"/>
        <w:rPr>
          <w:rFonts w:ascii="Times New Roman"/>
          <w:b/>
          <w:bCs/>
          <w:color w:val="auto"/>
          <w:kern w:val="2"/>
          <w:sz w:val="23"/>
          <w:szCs w:val="28"/>
        </w:rPr>
      </w:pPr>
      <w:bookmarkStart w:id="51" w:name="_Toc476662983"/>
      <w:bookmarkStart w:id="52" w:name="_Toc240895612"/>
      <w:bookmarkStart w:id="53" w:name="_Toc467844821"/>
      <w:r>
        <w:rPr>
          <w:rFonts w:ascii="Times New Roman"/>
          <w:b/>
          <w:bCs/>
          <w:color w:val="auto"/>
          <w:kern w:val="2"/>
          <w:sz w:val="23"/>
          <w:szCs w:val="28"/>
        </w:rPr>
        <w:t>通知</w:t>
      </w:r>
      <w:bookmarkEnd w:id="51"/>
      <w:r>
        <w:rPr>
          <w:rFonts w:hint="eastAsia" w:ascii="Times New Roman"/>
          <w:b/>
          <w:bCs/>
          <w:color w:val="auto"/>
          <w:kern w:val="2"/>
          <w:sz w:val="23"/>
          <w:szCs w:val="28"/>
        </w:rPr>
        <w:t>与送达</w:t>
      </w:r>
      <w:bookmarkEnd w:id="52"/>
    </w:p>
    <w:p w14:paraId="0C4CE665">
      <w:pPr>
        <w:pStyle w:val="32"/>
        <w:numPr>
          <w:ilvl w:val="1"/>
          <w:numId w:val="4"/>
        </w:numPr>
        <w:spacing w:after="240" w:afterLines="100" w:line="300" w:lineRule="auto"/>
        <w:jc w:val="both"/>
        <w:outlineLvl w:val="1"/>
        <w:rPr>
          <w:rFonts w:ascii="Times New Roman"/>
          <w:color w:val="auto"/>
          <w:sz w:val="23"/>
          <w:szCs w:val="23"/>
        </w:rPr>
      </w:pPr>
      <w:r>
        <w:rPr>
          <w:rFonts w:ascii="Times New Roman"/>
          <w:bCs/>
          <w:color w:val="auto"/>
          <w:sz w:val="23"/>
          <w:szCs w:val="23"/>
        </w:rPr>
        <w:t>除非本协议另有约定，否则，根据本协议发出的任何通知、要求或其他文件应采用</w:t>
      </w:r>
      <w:r>
        <w:rPr>
          <w:rFonts w:ascii="Times New Roman"/>
          <w:color w:val="auto"/>
          <w:sz w:val="23"/>
          <w:szCs w:val="23"/>
        </w:rPr>
        <w:t>书面形式。</w:t>
      </w:r>
      <w:r>
        <w:rPr>
          <w:rFonts w:hint="eastAsia" w:ascii="Times New Roman"/>
          <w:color w:val="auto"/>
          <w:sz w:val="23"/>
          <w:szCs w:val="23"/>
        </w:rPr>
        <w:t>双</w:t>
      </w:r>
      <w:r>
        <w:rPr>
          <w:rFonts w:ascii="Times New Roman"/>
          <w:color w:val="auto"/>
          <w:sz w:val="23"/>
          <w:szCs w:val="23"/>
        </w:rPr>
        <w:t>方确认本协议涉及的各类通知、要求、其它文件以及就本协议发生纠纷时相关文件和法律文书的送达地址如下：</w:t>
      </w:r>
    </w:p>
    <w:p w14:paraId="0761E371">
      <w:pPr>
        <w:tabs>
          <w:tab w:val="left" w:pos="709"/>
        </w:tabs>
        <w:spacing w:after="240" w:afterLines="100" w:line="300" w:lineRule="auto"/>
        <w:ind w:left="709"/>
        <w:rPr>
          <w:sz w:val="23"/>
          <w:szCs w:val="23"/>
        </w:rPr>
      </w:pPr>
      <w:r>
        <w:rPr>
          <w:sz w:val="23"/>
          <w:szCs w:val="23"/>
        </w:rPr>
        <w:t>致甲方：</w:t>
      </w:r>
      <w:r>
        <w:rPr>
          <w:rFonts w:hint="eastAsia"/>
          <w:sz w:val="23"/>
          <w:szCs w:val="23"/>
        </w:rPr>
        <w:t>中国东方资产管理股份有限公司司山东省分公司</w:t>
      </w:r>
    </w:p>
    <w:p w14:paraId="4F504FF4">
      <w:pPr>
        <w:tabs>
          <w:tab w:val="left" w:pos="709"/>
        </w:tabs>
        <w:spacing w:after="240" w:afterLines="100" w:line="300" w:lineRule="auto"/>
        <w:ind w:left="709"/>
        <w:rPr>
          <w:sz w:val="23"/>
          <w:szCs w:val="23"/>
        </w:rPr>
      </w:pPr>
      <w:r>
        <w:rPr>
          <w:rFonts w:hint="eastAsia"/>
          <w:sz w:val="23"/>
          <w:szCs w:val="23"/>
        </w:rPr>
        <w:t>地址：青岛市市南区香港中路6号甲3楼</w:t>
      </w:r>
    </w:p>
    <w:p w14:paraId="5B8DC5DE">
      <w:pPr>
        <w:tabs>
          <w:tab w:val="left" w:pos="709"/>
        </w:tabs>
        <w:spacing w:after="240" w:afterLines="100" w:line="300" w:lineRule="auto"/>
        <w:ind w:left="709"/>
        <w:rPr>
          <w:sz w:val="23"/>
          <w:szCs w:val="23"/>
        </w:rPr>
      </w:pPr>
      <w:r>
        <w:rPr>
          <w:rFonts w:hint="eastAsia"/>
          <w:sz w:val="23"/>
          <w:szCs w:val="23"/>
        </w:rPr>
        <w:t>邮政编码：266001                                传真：0532-58760755</w:t>
      </w:r>
    </w:p>
    <w:p w14:paraId="4C68135D">
      <w:pPr>
        <w:tabs>
          <w:tab w:val="left" w:pos="709"/>
        </w:tabs>
        <w:spacing w:after="240" w:afterLines="100" w:line="300" w:lineRule="auto"/>
        <w:ind w:left="709"/>
        <w:rPr>
          <w:sz w:val="23"/>
          <w:szCs w:val="23"/>
        </w:rPr>
      </w:pPr>
      <w:r>
        <w:rPr>
          <w:rFonts w:hint="eastAsia"/>
          <w:sz w:val="23"/>
          <w:szCs w:val="23"/>
        </w:rPr>
        <w:t>联系人：李经理                                  电话：0532-58218857</w:t>
      </w:r>
    </w:p>
    <w:p w14:paraId="69B179A8">
      <w:pPr>
        <w:tabs>
          <w:tab w:val="left" w:pos="709"/>
        </w:tabs>
        <w:spacing w:after="240" w:afterLines="100" w:line="300" w:lineRule="auto"/>
        <w:ind w:left="709"/>
        <w:rPr>
          <w:sz w:val="23"/>
          <w:szCs w:val="23"/>
        </w:rPr>
      </w:pPr>
      <w:r>
        <w:rPr>
          <w:sz w:val="23"/>
          <w:szCs w:val="23"/>
        </w:rPr>
        <w:t>致乙方：</w:t>
      </w:r>
      <w:r>
        <w:rPr>
          <w:rFonts w:hint="eastAsia"/>
          <w:sz w:val="23"/>
          <w:szCs w:val="23"/>
        </w:rPr>
        <w:t>【】</w:t>
      </w:r>
      <w:r>
        <w:rPr>
          <w:sz w:val="23"/>
          <w:szCs w:val="23"/>
        </w:rPr>
        <w:t xml:space="preserve"> </w:t>
      </w:r>
    </w:p>
    <w:p w14:paraId="6D53264B">
      <w:pPr>
        <w:tabs>
          <w:tab w:val="left" w:pos="709"/>
        </w:tabs>
        <w:spacing w:after="240" w:afterLines="100" w:line="300" w:lineRule="auto"/>
        <w:ind w:left="709"/>
        <w:rPr>
          <w:sz w:val="23"/>
          <w:szCs w:val="23"/>
        </w:rPr>
      </w:pPr>
      <w:r>
        <w:rPr>
          <w:sz w:val="23"/>
          <w:szCs w:val="23"/>
        </w:rPr>
        <w:t>地址：</w:t>
      </w:r>
      <w:r>
        <w:rPr>
          <w:rFonts w:hint="eastAsia"/>
          <w:sz w:val="23"/>
          <w:szCs w:val="23"/>
        </w:rPr>
        <w:t>【】</w:t>
      </w:r>
    </w:p>
    <w:p w14:paraId="51A2C6F3">
      <w:pPr>
        <w:pStyle w:val="103"/>
        <w:tabs>
          <w:tab w:val="left" w:pos="709"/>
        </w:tabs>
        <w:spacing w:after="240" w:afterLines="100" w:line="300" w:lineRule="auto"/>
        <w:ind w:left="709" w:firstLine="0" w:firstLineChars="0"/>
        <w:rPr>
          <w:sz w:val="23"/>
          <w:szCs w:val="23"/>
        </w:rPr>
      </w:pPr>
      <w:r>
        <w:rPr>
          <w:rFonts w:hint="eastAsia"/>
          <w:sz w:val="23"/>
          <w:szCs w:val="23"/>
        </w:rPr>
        <w:t>邮政编码：【】</w:t>
      </w:r>
      <w:r>
        <w:rPr>
          <w:sz w:val="23"/>
          <w:szCs w:val="23"/>
        </w:rPr>
        <w:t xml:space="preserve">               </w:t>
      </w:r>
      <w:r>
        <w:rPr>
          <w:rFonts w:hint="eastAsia"/>
          <w:sz w:val="23"/>
          <w:szCs w:val="23"/>
        </w:rPr>
        <w:t xml:space="preserve">                    </w:t>
      </w:r>
      <w:r>
        <w:rPr>
          <w:sz w:val="23"/>
          <w:szCs w:val="23"/>
        </w:rPr>
        <w:t>传真：</w:t>
      </w:r>
      <w:r>
        <w:rPr>
          <w:rFonts w:hint="eastAsia"/>
          <w:sz w:val="23"/>
          <w:szCs w:val="23"/>
        </w:rPr>
        <w:t>【】</w:t>
      </w:r>
    </w:p>
    <w:p w14:paraId="6AD7D0CD">
      <w:pPr>
        <w:pStyle w:val="103"/>
        <w:tabs>
          <w:tab w:val="left" w:pos="709"/>
        </w:tabs>
        <w:spacing w:after="240" w:afterLines="100" w:line="300" w:lineRule="auto"/>
        <w:ind w:left="709" w:firstLine="0" w:firstLineChars="0"/>
        <w:rPr>
          <w:sz w:val="23"/>
          <w:szCs w:val="23"/>
        </w:rPr>
      </w:pPr>
      <w:r>
        <w:rPr>
          <w:sz w:val="23"/>
          <w:szCs w:val="23"/>
        </w:rPr>
        <w:t>联系人：</w:t>
      </w:r>
      <w:r>
        <w:rPr>
          <w:rFonts w:hint="eastAsia"/>
          <w:sz w:val="23"/>
          <w:szCs w:val="23"/>
        </w:rPr>
        <w:t xml:space="preserve">【】                                        </w:t>
      </w:r>
      <w:r>
        <w:rPr>
          <w:sz w:val="23"/>
          <w:szCs w:val="23"/>
        </w:rPr>
        <w:t>电话：</w:t>
      </w:r>
      <w:r>
        <w:rPr>
          <w:rFonts w:hint="eastAsia"/>
          <w:sz w:val="23"/>
          <w:szCs w:val="23"/>
        </w:rPr>
        <w:t>【】</w:t>
      </w:r>
    </w:p>
    <w:p w14:paraId="71E01F45">
      <w:pPr>
        <w:pStyle w:val="103"/>
        <w:tabs>
          <w:tab w:val="left" w:pos="709"/>
        </w:tabs>
        <w:spacing w:after="240" w:afterLines="100" w:line="300" w:lineRule="auto"/>
        <w:ind w:left="709" w:firstLine="0" w:firstLineChars="0"/>
        <w:rPr>
          <w:sz w:val="23"/>
          <w:szCs w:val="23"/>
        </w:rPr>
      </w:pPr>
      <w:r>
        <w:rPr>
          <w:rFonts w:hint="eastAsia" w:ascii="Times New Roman" w:hAnsi="Times New Roman"/>
          <w:sz w:val="23"/>
        </w:rPr>
        <w:t>电子邮箱：</w:t>
      </w:r>
    </w:p>
    <w:p w14:paraId="605162CA">
      <w:pPr>
        <w:pStyle w:val="32"/>
        <w:numPr>
          <w:ilvl w:val="1"/>
          <w:numId w:val="4"/>
        </w:numPr>
        <w:spacing w:after="240" w:afterLines="100" w:line="300" w:lineRule="auto"/>
        <w:jc w:val="both"/>
        <w:outlineLvl w:val="1"/>
        <w:rPr>
          <w:rFonts w:ascii="Times New Roman"/>
          <w:bCs/>
          <w:color w:val="auto"/>
          <w:kern w:val="2"/>
          <w:sz w:val="23"/>
          <w:szCs w:val="23"/>
        </w:rPr>
      </w:pPr>
      <w:r>
        <w:rPr>
          <w:rFonts w:hint="eastAsia" w:ascii="Times New Roman"/>
          <w:bCs/>
          <w:color w:val="auto"/>
          <w:kern w:val="2"/>
          <w:sz w:val="23"/>
          <w:szCs w:val="23"/>
        </w:rPr>
        <w:t>双</w:t>
      </w:r>
      <w:r>
        <w:rPr>
          <w:rFonts w:ascii="Times New Roman"/>
          <w:bCs/>
          <w:color w:val="auto"/>
          <w:kern w:val="2"/>
          <w:sz w:val="23"/>
          <w:szCs w:val="23"/>
        </w:rPr>
        <w:t>方送达地址的</w:t>
      </w:r>
      <w:r>
        <w:rPr>
          <w:rFonts w:hint="eastAsia" w:ascii="Times New Roman"/>
          <w:bCs/>
          <w:color w:val="auto"/>
          <w:kern w:val="2"/>
          <w:sz w:val="23"/>
          <w:szCs w:val="23"/>
        </w:rPr>
        <w:t>约定的</w:t>
      </w:r>
      <w:r>
        <w:rPr>
          <w:rFonts w:ascii="Times New Roman"/>
          <w:bCs/>
          <w:color w:val="auto"/>
          <w:kern w:val="2"/>
          <w:sz w:val="23"/>
          <w:szCs w:val="23"/>
        </w:rPr>
        <w:t>适用范围包括</w:t>
      </w:r>
      <w:r>
        <w:rPr>
          <w:rFonts w:hint="eastAsia" w:ascii="Times New Roman"/>
          <w:bCs/>
          <w:color w:val="auto"/>
          <w:kern w:val="2"/>
          <w:sz w:val="23"/>
          <w:szCs w:val="23"/>
        </w:rPr>
        <w:t>双</w:t>
      </w:r>
      <w:r>
        <w:rPr>
          <w:rFonts w:ascii="Times New Roman"/>
          <w:bCs/>
          <w:color w:val="auto"/>
          <w:kern w:val="2"/>
          <w:sz w:val="23"/>
          <w:szCs w:val="23"/>
        </w:rPr>
        <w:t>方</w:t>
      </w:r>
      <w:r>
        <w:rPr>
          <w:rFonts w:hint="eastAsia" w:ascii="Times New Roman"/>
          <w:bCs/>
          <w:color w:val="auto"/>
          <w:kern w:val="2"/>
          <w:sz w:val="23"/>
          <w:szCs w:val="23"/>
        </w:rPr>
        <w:t>签署和履行本协议所需的</w:t>
      </w:r>
      <w:r>
        <w:rPr>
          <w:rFonts w:ascii="Times New Roman"/>
          <w:bCs/>
          <w:color w:val="auto"/>
          <w:kern w:val="2"/>
          <w:sz w:val="23"/>
          <w:szCs w:val="23"/>
        </w:rPr>
        <w:t>各类通知、要求或其它文件以及就本协议发生</w:t>
      </w:r>
      <w:r>
        <w:rPr>
          <w:rFonts w:hint="eastAsia" w:ascii="Times New Roman"/>
          <w:bCs/>
          <w:color w:val="auto"/>
          <w:kern w:val="2"/>
          <w:sz w:val="23"/>
          <w:szCs w:val="23"/>
        </w:rPr>
        <w:t>争议</w:t>
      </w:r>
      <w:r>
        <w:rPr>
          <w:rFonts w:ascii="Times New Roman"/>
          <w:bCs/>
          <w:color w:val="auto"/>
          <w:kern w:val="2"/>
          <w:sz w:val="23"/>
          <w:szCs w:val="23"/>
        </w:rPr>
        <w:t>时相关文件和法律文书的送达，同时包括在争议进入</w:t>
      </w:r>
      <w:r>
        <w:rPr>
          <w:rFonts w:hint="eastAsia"/>
          <w:sz w:val="23"/>
          <w:szCs w:val="23"/>
        </w:rPr>
        <w:t>强制执行公证，</w:t>
      </w:r>
      <w:r>
        <w:rPr>
          <w:rFonts w:ascii="Times New Roman"/>
          <w:bCs/>
          <w:color w:val="auto"/>
          <w:kern w:val="2"/>
          <w:sz w:val="23"/>
          <w:szCs w:val="23"/>
        </w:rPr>
        <w:t>仲裁</w:t>
      </w:r>
      <w:r>
        <w:rPr>
          <w:rFonts w:hint="eastAsia" w:ascii="Times New Roman"/>
          <w:bCs/>
          <w:color w:val="auto"/>
          <w:kern w:val="2"/>
          <w:sz w:val="23"/>
          <w:szCs w:val="23"/>
        </w:rPr>
        <w:t>程序，</w:t>
      </w:r>
      <w:r>
        <w:rPr>
          <w:rFonts w:ascii="Times New Roman"/>
          <w:bCs/>
          <w:color w:val="auto"/>
          <w:kern w:val="2"/>
          <w:sz w:val="23"/>
          <w:szCs w:val="23"/>
        </w:rPr>
        <w:t>民事诉讼程序的一审、二审、再审和执行程序。</w:t>
      </w:r>
    </w:p>
    <w:p w14:paraId="41006FA8">
      <w:pPr>
        <w:pStyle w:val="32"/>
        <w:numPr>
          <w:ilvl w:val="1"/>
          <w:numId w:val="4"/>
        </w:numPr>
        <w:spacing w:after="240" w:afterLines="100" w:line="300" w:lineRule="auto"/>
        <w:jc w:val="both"/>
        <w:outlineLvl w:val="1"/>
        <w:rPr>
          <w:rFonts w:ascii="Times New Roman"/>
          <w:bCs/>
          <w:color w:val="auto"/>
          <w:kern w:val="2"/>
          <w:sz w:val="23"/>
          <w:szCs w:val="23"/>
        </w:rPr>
      </w:pPr>
      <w:r>
        <w:rPr>
          <w:rFonts w:ascii="Times New Roman"/>
          <w:bCs/>
          <w:color w:val="auto"/>
          <w:kern w:val="2"/>
          <w:sz w:val="23"/>
          <w:szCs w:val="23"/>
        </w:rPr>
        <w:t>一方的送达地址需要变更时应当</w:t>
      </w:r>
      <w:r>
        <w:rPr>
          <w:rFonts w:ascii="Times New Roman"/>
          <w:bCs/>
          <w:color w:val="auto"/>
          <w:sz w:val="23"/>
          <w:szCs w:val="23"/>
        </w:rPr>
        <w:t>立即书面通知其他方</w:t>
      </w:r>
      <w:r>
        <w:rPr>
          <w:rFonts w:hint="eastAsia"/>
          <w:sz w:val="23"/>
          <w:szCs w:val="23"/>
        </w:rPr>
        <w:t>及办理强制执行公证的公证机构</w:t>
      </w:r>
      <w:r>
        <w:rPr>
          <w:rFonts w:ascii="Times New Roman"/>
          <w:bCs/>
          <w:color w:val="auto"/>
          <w:sz w:val="23"/>
          <w:szCs w:val="23"/>
        </w:rPr>
        <w:t>。</w:t>
      </w:r>
    </w:p>
    <w:p w14:paraId="186CB8CB">
      <w:pPr>
        <w:pStyle w:val="32"/>
        <w:spacing w:after="240" w:afterLines="100" w:line="300" w:lineRule="auto"/>
        <w:ind w:left="709" w:leftChars="337" w:hanging="1"/>
        <w:jc w:val="both"/>
        <w:outlineLvl w:val="2"/>
        <w:rPr>
          <w:rFonts w:ascii="Times New Roman"/>
          <w:color w:val="auto"/>
          <w:kern w:val="2"/>
          <w:sz w:val="23"/>
          <w:szCs w:val="23"/>
        </w:rPr>
      </w:pPr>
      <w:r>
        <w:rPr>
          <w:rFonts w:ascii="Times New Roman"/>
          <w:color w:val="auto"/>
          <w:kern w:val="2"/>
          <w:sz w:val="23"/>
          <w:szCs w:val="23"/>
        </w:rPr>
        <w:t>在仲裁及民事诉讼程序时一方当事人地址变更时应当向仲裁机构、法院履行送达地址变更通知义务。</w:t>
      </w:r>
    </w:p>
    <w:p w14:paraId="79CBF662">
      <w:pPr>
        <w:tabs>
          <w:tab w:val="left" w:pos="709"/>
        </w:tabs>
        <w:spacing w:after="240" w:afterLines="100" w:line="300" w:lineRule="auto"/>
        <w:ind w:left="709"/>
        <w:rPr>
          <w:sz w:val="23"/>
          <w:szCs w:val="23"/>
        </w:rPr>
      </w:pPr>
      <w:r>
        <w:rPr>
          <w:sz w:val="23"/>
          <w:szCs w:val="23"/>
        </w:rPr>
        <w:t>一方未按前述方式履行通知义务，</w:t>
      </w:r>
      <w:r>
        <w:rPr>
          <w:rFonts w:hint="eastAsia"/>
          <w:sz w:val="23"/>
          <w:szCs w:val="23"/>
        </w:rPr>
        <w:t>双</w:t>
      </w:r>
      <w:r>
        <w:rPr>
          <w:sz w:val="23"/>
          <w:szCs w:val="23"/>
        </w:rPr>
        <w:t>方所确认的送达地址仍视为有效送达地址，因当事人提供或者确认的送达地址不准确、送达地址变更后未及时依程序告知其他方</w:t>
      </w:r>
      <w:r>
        <w:rPr>
          <w:rFonts w:hint="eastAsia"/>
          <w:sz w:val="23"/>
          <w:szCs w:val="23"/>
        </w:rPr>
        <w:t>及公证机构</w:t>
      </w:r>
      <w:r>
        <w:rPr>
          <w:sz w:val="23"/>
          <w:szCs w:val="23"/>
        </w:rPr>
        <w:t>和法院、当事人或指定的接收人拒绝签收等原因，导致法律文书未能被当事人实际接收的，下列日期视为送达日：</w:t>
      </w:r>
      <w:r>
        <w:rPr>
          <w:rFonts w:hint="eastAsia"/>
          <w:sz w:val="23"/>
          <w:szCs w:val="23"/>
        </w:rPr>
        <w:t>（1）</w:t>
      </w:r>
      <w:r>
        <w:rPr>
          <w:sz w:val="23"/>
          <w:szCs w:val="23"/>
        </w:rPr>
        <w:t>直接送达的，送达人实际送交至上述地址之日为送达日；</w:t>
      </w:r>
      <w:r>
        <w:rPr>
          <w:rFonts w:hint="eastAsia"/>
          <w:sz w:val="23"/>
          <w:szCs w:val="23"/>
        </w:rPr>
        <w:t>（2）</w:t>
      </w:r>
      <w:r>
        <w:rPr>
          <w:sz w:val="23"/>
          <w:szCs w:val="23"/>
        </w:rPr>
        <w:t>挂号信邮寄送达的，以发出通知一方持有的挂号信回执所示的送达日</w:t>
      </w:r>
      <w:r>
        <w:rPr>
          <w:rFonts w:hint="eastAsia"/>
          <w:sz w:val="23"/>
          <w:szCs w:val="23"/>
        </w:rPr>
        <w:t>或挂号信被退回之日（以孰早者为准）</w:t>
      </w:r>
      <w:r>
        <w:rPr>
          <w:sz w:val="23"/>
          <w:szCs w:val="23"/>
        </w:rPr>
        <w:t>为送达日；（3）特快专递方式送达的，收件人签收日为送达日；收件人未签收的，以寄出日后第四</w:t>
      </w:r>
      <w:r>
        <w:rPr>
          <w:rFonts w:hint="eastAsia"/>
          <w:sz w:val="23"/>
          <w:szCs w:val="23"/>
        </w:rPr>
        <w:t>（4）</w:t>
      </w:r>
      <w:r>
        <w:rPr>
          <w:sz w:val="23"/>
          <w:szCs w:val="23"/>
        </w:rPr>
        <w:t>个工作日</w:t>
      </w:r>
      <w:r>
        <w:rPr>
          <w:rFonts w:hint="eastAsia"/>
          <w:sz w:val="23"/>
          <w:szCs w:val="23"/>
        </w:rPr>
        <w:t>或特快专递被退回之日（以孰早者为准）为送达日</w:t>
      </w:r>
      <w:r>
        <w:rPr>
          <w:sz w:val="23"/>
          <w:szCs w:val="23"/>
        </w:rPr>
        <w:t>；</w:t>
      </w:r>
      <w:r>
        <w:rPr>
          <w:rFonts w:hint="eastAsia"/>
          <w:sz w:val="23"/>
          <w:szCs w:val="23"/>
        </w:rPr>
        <w:t>（4）</w:t>
      </w:r>
      <w:r>
        <w:rPr>
          <w:sz w:val="23"/>
          <w:szCs w:val="23"/>
        </w:rPr>
        <w:t>如采取传真方式，以收到传真成功发送确认报告之日为送达日，如果发出日不是工作日，则以下一个工作日为送达日。</w:t>
      </w:r>
    </w:p>
    <w:p w14:paraId="7767BF62">
      <w:pPr>
        <w:tabs>
          <w:tab w:val="left" w:pos="709"/>
        </w:tabs>
        <w:spacing w:after="240" w:afterLines="100" w:line="300" w:lineRule="auto"/>
        <w:ind w:left="709"/>
        <w:rPr>
          <w:sz w:val="23"/>
          <w:szCs w:val="23"/>
        </w:rPr>
      </w:pPr>
      <w:r>
        <w:rPr>
          <w:sz w:val="23"/>
          <w:szCs w:val="23"/>
        </w:rPr>
        <w:t>履行送达地址变更通知义务的，以变更后的送达地址为有效送达地址。</w:t>
      </w:r>
    </w:p>
    <w:p w14:paraId="40E0CE4B">
      <w:pPr>
        <w:tabs>
          <w:tab w:val="left" w:pos="709"/>
        </w:tabs>
        <w:spacing w:after="240" w:afterLines="100" w:line="300" w:lineRule="auto"/>
        <w:ind w:left="709"/>
        <w:rPr>
          <w:sz w:val="23"/>
          <w:szCs w:val="23"/>
        </w:rPr>
      </w:pPr>
      <w:r>
        <w:rPr>
          <w:rFonts w:hint="eastAsia"/>
          <w:sz w:val="23"/>
          <w:szCs w:val="23"/>
        </w:rPr>
        <w:t>双</w:t>
      </w:r>
      <w:r>
        <w:rPr>
          <w:sz w:val="23"/>
          <w:szCs w:val="23"/>
        </w:rPr>
        <w:t>方在本协议明确约定的送达地址，</w:t>
      </w:r>
      <w:r>
        <w:rPr>
          <w:rFonts w:hint="eastAsia"/>
          <w:sz w:val="23"/>
          <w:szCs w:val="23"/>
        </w:rPr>
        <w:t>公证机构、仲裁机构、</w:t>
      </w:r>
      <w:r>
        <w:rPr>
          <w:sz w:val="23"/>
          <w:szCs w:val="23"/>
        </w:rPr>
        <w:t>法院进行送达时可直接邮寄送达，即使当事人未能收到</w:t>
      </w:r>
      <w:r>
        <w:rPr>
          <w:rFonts w:hint="eastAsia"/>
          <w:sz w:val="23"/>
          <w:szCs w:val="23"/>
        </w:rPr>
        <w:t>公证机构、仲裁机构或</w:t>
      </w:r>
      <w:r>
        <w:rPr>
          <w:sz w:val="23"/>
          <w:szCs w:val="23"/>
        </w:rPr>
        <w:t>法院邮寄送达的文书，由于其在本协议的约定，也应当视为送达。</w:t>
      </w:r>
    </w:p>
    <w:p w14:paraId="6E6B76BE">
      <w:pPr>
        <w:pStyle w:val="32"/>
        <w:numPr>
          <w:ilvl w:val="1"/>
          <w:numId w:val="4"/>
        </w:numPr>
        <w:spacing w:after="240" w:afterLines="100" w:line="300" w:lineRule="auto"/>
        <w:jc w:val="both"/>
        <w:outlineLvl w:val="1"/>
        <w:rPr>
          <w:rFonts w:ascii="Times New Roman"/>
          <w:color w:val="auto"/>
          <w:kern w:val="2"/>
          <w:sz w:val="23"/>
          <w:szCs w:val="23"/>
        </w:rPr>
      </w:pPr>
      <w:r>
        <w:rPr>
          <w:rFonts w:ascii="Times New Roman"/>
          <w:color w:val="auto"/>
          <w:kern w:val="2"/>
          <w:sz w:val="23"/>
          <w:szCs w:val="23"/>
        </w:rPr>
        <w:t>纠纷进入仲裁、民事诉讼程序后，如一方应诉并直接向仲裁机构、法院提交送达地址确认书，该确认地址与诉前确认的送达地址不一致的，以向仲裁机构、法院提交确认的送达地址为准（该送达地址适用上述第</w:t>
      </w:r>
      <w:r>
        <w:rPr>
          <w:rFonts w:ascii="Times New Roman"/>
          <w:color w:val="auto"/>
          <w:sz w:val="23"/>
          <w:szCs w:val="23"/>
        </w:rPr>
        <w:t>1</w:t>
      </w:r>
      <w:r>
        <w:rPr>
          <w:rFonts w:hint="eastAsia" w:ascii="Times New Roman"/>
          <w:color w:val="auto"/>
          <w:sz w:val="23"/>
          <w:szCs w:val="23"/>
        </w:rPr>
        <w:t>7</w:t>
      </w:r>
      <w:r>
        <w:rPr>
          <w:rFonts w:ascii="Times New Roman"/>
          <w:color w:val="auto"/>
          <w:sz w:val="23"/>
          <w:szCs w:val="23"/>
        </w:rPr>
        <w:t>.2款、17.3款</w:t>
      </w:r>
      <w:r>
        <w:rPr>
          <w:rFonts w:ascii="Times New Roman"/>
          <w:color w:val="auto"/>
          <w:kern w:val="2"/>
          <w:sz w:val="23"/>
          <w:szCs w:val="23"/>
        </w:rPr>
        <w:t>规定的送达方式及送达的法律后果）。</w:t>
      </w:r>
    </w:p>
    <w:bookmarkEnd w:id="53"/>
    <w:p w14:paraId="27142F96">
      <w:pPr>
        <w:pStyle w:val="32"/>
        <w:numPr>
          <w:ilvl w:val="0"/>
          <w:numId w:val="4"/>
        </w:numPr>
        <w:spacing w:after="240" w:afterLines="100" w:line="300" w:lineRule="auto"/>
        <w:jc w:val="both"/>
        <w:outlineLvl w:val="0"/>
        <w:rPr>
          <w:rFonts w:ascii="Times New Roman"/>
          <w:b/>
          <w:bCs/>
          <w:color w:val="auto"/>
          <w:kern w:val="2"/>
          <w:sz w:val="23"/>
          <w:szCs w:val="28"/>
        </w:rPr>
      </w:pPr>
      <w:bookmarkStart w:id="54" w:name="_Toc240895613"/>
      <w:bookmarkStart w:id="55" w:name="_Toc467844822"/>
      <w:r>
        <w:rPr>
          <w:rFonts w:ascii="Times New Roman"/>
          <w:b/>
          <w:bCs/>
          <w:color w:val="auto"/>
          <w:kern w:val="2"/>
          <w:sz w:val="23"/>
          <w:szCs w:val="28"/>
        </w:rPr>
        <w:t>法律适用和争议解决</w:t>
      </w:r>
      <w:bookmarkEnd w:id="54"/>
    </w:p>
    <w:p w14:paraId="611BB80E">
      <w:pPr>
        <w:pStyle w:val="32"/>
        <w:numPr>
          <w:ilvl w:val="1"/>
          <w:numId w:val="4"/>
        </w:numPr>
        <w:spacing w:after="240" w:afterLines="100" w:line="300" w:lineRule="auto"/>
        <w:jc w:val="both"/>
        <w:outlineLvl w:val="1"/>
        <w:rPr>
          <w:rFonts w:ascii="Times New Roman"/>
          <w:color w:val="auto"/>
          <w:kern w:val="2"/>
          <w:sz w:val="23"/>
          <w:szCs w:val="23"/>
        </w:rPr>
      </w:pPr>
      <w:r>
        <w:rPr>
          <w:rFonts w:ascii="Times New Roman"/>
          <w:color w:val="auto"/>
          <w:kern w:val="2"/>
          <w:sz w:val="23"/>
          <w:szCs w:val="23"/>
        </w:rPr>
        <w:t>本协议适用中国法律，并依其解释。</w:t>
      </w:r>
    </w:p>
    <w:p w14:paraId="0D8B8520">
      <w:pPr>
        <w:pStyle w:val="32"/>
        <w:numPr>
          <w:ilvl w:val="1"/>
          <w:numId w:val="4"/>
        </w:numPr>
        <w:spacing w:after="240" w:afterLines="100" w:line="300" w:lineRule="auto"/>
        <w:jc w:val="both"/>
        <w:outlineLvl w:val="1"/>
        <w:rPr>
          <w:rFonts w:ascii="Times New Roman"/>
          <w:color w:val="auto"/>
          <w:kern w:val="2"/>
          <w:sz w:val="23"/>
          <w:szCs w:val="23"/>
        </w:rPr>
      </w:pPr>
      <w:r>
        <w:rPr>
          <w:rFonts w:ascii="Times New Roman"/>
          <w:color w:val="auto"/>
          <w:kern w:val="2"/>
          <w:sz w:val="23"/>
          <w:szCs w:val="23"/>
        </w:rPr>
        <w:t>因本协议引起的或与本协议有关的任何争议，</w:t>
      </w:r>
      <w:r>
        <w:rPr>
          <w:rFonts w:hint="eastAsia" w:ascii="Times New Roman"/>
          <w:color w:val="auto"/>
          <w:kern w:val="2"/>
          <w:sz w:val="23"/>
          <w:szCs w:val="23"/>
        </w:rPr>
        <w:t>双</w:t>
      </w:r>
      <w:r>
        <w:rPr>
          <w:rFonts w:ascii="Times New Roman"/>
          <w:color w:val="auto"/>
          <w:kern w:val="2"/>
          <w:sz w:val="23"/>
          <w:szCs w:val="23"/>
        </w:rPr>
        <w:t>方可通过友好协商解决，协商不成的，可以采用以下第</w:t>
      </w:r>
      <w:r>
        <w:rPr>
          <w:rFonts w:hint="eastAsia" w:ascii="Times New Roman"/>
          <w:color w:val="auto"/>
          <w:kern w:val="2"/>
          <w:sz w:val="23"/>
          <w:szCs w:val="23"/>
        </w:rPr>
        <w:t>【1】</w:t>
      </w:r>
      <w:r>
        <w:rPr>
          <w:rFonts w:ascii="Times New Roman"/>
          <w:color w:val="auto"/>
          <w:kern w:val="2"/>
          <w:sz w:val="23"/>
          <w:szCs w:val="23"/>
        </w:rPr>
        <w:t>种方式解决：</w:t>
      </w:r>
    </w:p>
    <w:p w14:paraId="16942082">
      <w:pPr>
        <w:pStyle w:val="38"/>
        <w:numPr>
          <w:ilvl w:val="2"/>
          <w:numId w:val="14"/>
        </w:numPr>
        <w:tabs>
          <w:tab w:val="left" w:pos="851"/>
        </w:tabs>
        <w:spacing w:after="240" w:afterLines="100" w:line="300" w:lineRule="auto"/>
        <w:jc w:val="both"/>
        <w:rPr>
          <w:rFonts w:ascii="Times New Roman"/>
          <w:kern w:val="2"/>
          <w:sz w:val="23"/>
        </w:rPr>
      </w:pPr>
      <w:r>
        <w:rPr>
          <w:rFonts w:ascii="Times New Roman"/>
          <w:kern w:val="2"/>
          <w:sz w:val="23"/>
        </w:rPr>
        <w:t>向</w:t>
      </w:r>
      <w:r>
        <w:rPr>
          <w:rFonts w:hint="eastAsia" w:ascii="Times New Roman"/>
          <w:kern w:val="2"/>
          <w:sz w:val="23"/>
        </w:rPr>
        <w:t>【甲】</w:t>
      </w:r>
      <w:r>
        <w:rPr>
          <w:rFonts w:ascii="Times New Roman"/>
          <w:kern w:val="2"/>
          <w:sz w:val="23"/>
        </w:rPr>
        <w:t>方住所地有管辖权的人民法院提起诉讼；</w:t>
      </w:r>
    </w:p>
    <w:p w14:paraId="6ADF4BCD">
      <w:pPr>
        <w:pStyle w:val="38"/>
        <w:numPr>
          <w:ilvl w:val="2"/>
          <w:numId w:val="14"/>
        </w:numPr>
        <w:tabs>
          <w:tab w:val="left" w:pos="851"/>
        </w:tabs>
        <w:spacing w:after="240" w:afterLines="100" w:line="300" w:lineRule="auto"/>
        <w:jc w:val="both"/>
        <w:rPr>
          <w:rFonts w:ascii="Times New Roman"/>
          <w:kern w:val="2"/>
          <w:sz w:val="23"/>
        </w:rPr>
      </w:pPr>
      <w:r>
        <w:rPr>
          <w:rFonts w:ascii="Times New Roman"/>
          <w:kern w:val="2"/>
          <w:sz w:val="23"/>
        </w:rPr>
        <w:t>提交【】仲裁委员会在【仲裁地点】按其届时有效的仲裁规则作出有</w:t>
      </w:r>
      <w:r>
        <w:rPr>
          <w:rFonts w:hint="eastAsia" w:ascii="Times New Roman"/>
          <w:kern w:val="2"/>
          <w:sz w:val="23"/>
        </w:rPr>
        <w:t>约</w:t>
      </w:r>
      <w:r>
        <w:rPr>
          <w:rFonts w:ascii="Times New Roman"/>
          <w:kern w:val="2"/>
          <w:sz w:val="23"/>
        </w:rPr>
        <w:t>束力的仲裁裁决。仲裁庭由三名仲裁员组成。甲方和乙方有权各选定一名仲裁员；各方应共同选定第三名仲裁员，第三名仲裁员为仲裁庭的首席仲裁员。仲裁语言为中文。该仲裁裁决为终局性裁决，对各方均有法律约束力。</w:t>
      </w:r>
    </w:p>
    <w:p w14:paraId="35BECCCE">
      <w:pPr>
        <w:pStyle w:val="38"/>
        <w:numPr>
          <w:ilvl w:val="2"/>
          <w:numId w:val="14"/>
        </w:numPr>
        <w:tabs>
          <w:tab w:val="left" w:pos="851"/>
        </w:tabs>
        <w:spacing w:after="240" w:afterLines="100" w:line="300" w:lineRule="auto"/>
        <w:jc w:val="both"/>
        <w:rPr>
          <w:rFonts w:ascii="Times New Roman"/>
          <w:kern w:val="2"/>
          <w:sz w:val="23"/>
        </w:rPr>
      </w:pPr>
      <w:r>
        <w:rPr>
          <w:rFonts w:hint="eastAsia" w:ascii="Times New Roman"/>
          <w:kern w:val="2"/>
          <w:sz w:val="23"/>
        </w:rPr>
        <w:t xml:space="preserve">【其他】 </w:t>
      </w:r>
    </w:p>
    <w:p w14:paraId="6EA871C8">
      <w:pPr>
        <w:pStyle w:val="38"/>
        <w:tabs>
          <w:tab w:val="left" w:pos="851"/>
        </w:tabs>
        <w:spacing w:after="240" w:afterLines="100" w:line="300" w:lineRule="auto"/>
        <w:ind w:left="693" w:leftChars="330"/>
        <w:jc w:val="both"/>
        <w:rPr>
          <w:rFonts w:ascii="Times New Roman"/>
          <w:kern w:val="2"/>
          <w:sz w:val="23"/>
        </w:rPr>
      </w:pPr>
      <w:r>
        <w:rPr>
          <w:rFonts w:ascii="Times New Roman"/>
          <w:kern w:val="2"/>
          <w:sz w:val="23"/>
        </w:rPr>
        <w:t>除非生效判决/仲裁裁决另行确定，各方为诉讼/仲裁而实际支付的费用（包括但不限于诉讼费/仲裁费和合理的律师费）由败诉方承担。</w:t>
      </w:r>
    </w:p>
    <w:p w14:paraId="2BF895C6">
      <w:pPr>
        <w:pStyle w:val="32"/>
        <w:numPr>
          <w:ilvl w:val="1"/>
          <w:numId w:val="4"/>
        </w:numPr>
        <w:spacing w:after="240" w:afterLines="100" w:line="300" w:lineRule="auto"/>
        <w:jc w:val="both"/>
        <w:outlineLvl w:val="1"/>
        <w:rPr>
          <w:rFonts w:ascii="Times New Roman"/>
          <w:color w:val="auto"/>
          <w:kern w:val="2"/>
          <w:sz w:val="23"/>
          <w:szCs w:val="23"/>
        </w:rPr>
      </w:pPr>
      <w:r>
        <w:rPr>
          <w:rFonts w:ascii="Times New Roman"/>
          <w:color w:val="auto"/>
          <w:kern w:val="2"/>
          <w:sz w:val="23"/>
          <w:szCs w:val="23"/>
        </w:rPr>
        <w:t>在本协议争议解决期间，除争议事项外，双方应继续履行本协议的其它条款。</w:t>
      </w:r>
    </w:p>
    <w:p w14:paraId="4E280263">
      <w:pPr>
        <w:pStyle w:val="32"/>
        <w:numPr>
          <w:ilvl w:val="0"/>
          <w:numId w:val="4"/>
        </w:numPr>
        <w:spacing w:after="240" w:afterLines="100" w:line="300" w:lineRule="auto"/>
        <w:jc w:val="both"/>
        <w:outlineLvl w:val="0"/>
        <w:rPr>
          <w:rFonts w:ascii="Times New Roman"/>
          <w:b/>
          <w:bCs/>
          <w:color w:val="auto"/>
          <w:kern w:val="2"/>
          <w:sz w:val="23"/>
          <w:szCs w:val="28"/>
        </w:rPr>
      </w:pPr>
      <w:bookmarkStart w:id="56" w:name="_Toc240895614"/>
      <w:r>
        <w:rPr>
          <w:rFonts w:ascii="Times New Roman"/>
          <w:b/>
          <w:bCs/>
          <w:color w:val="auto"/>
          <w:kern w:val="2"/>
          <w:sz w:val="23"/>
          <w:szCs w:val="28"/>
        </w:rPr>
        <w:t>其它</w:t>
      </w:r>
      <w:bookmarkEnd w:id="55"/>
      <w:bookmarkEnd w:id="56"/>
    </w:p>
    <w:p w14:paraId="08FB0743">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标题</w:t>
      </w:r>
    </w:p>
    <w:p w14:paraId="44C4D140">
      <w:pPr>
        <w:pStyle w:val="32"/>
        <w:spacing w:after="240" w:afterLines="100" w:line="300" w:lineRule="auto"/>
        <w:ind w:left="709"/>
        <w:jc w:val="both"/>
        <w:outlineLvl w:val="1"/>
        <w:rPr>
          <w:rFonts w:ascii="Times New Roman"/>
          <w:color w:val="auto"/>
          <w:kern w:val="2"/>
          <w:sz w:val="23"/>
        </w:rPr>
      </w:pPr>
      <w:r>
        <w:rPr>
          <w:rFonts w:hint="eastAsia" w:ascii="Times New Roman"/>
          <w:color w:val="auto"/>
          <w:kern w:val="2"/>
          <w:sz w:val="23"/>
        </w:rPr>
        <w:t>本协议中的标题及附件和附表的标题仅为阅读便利而设，并不影响本协议或本协议中任何规定的含义和解释。</w:t>
      </w:r>
    </w:p>
    <w:p w14:paraId="52516F5B">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约束力</w:t>
      </w:r>
    </w:p>
    <w:p w14:paraId="7B849CFF">
      <w:pPr>
        <w:pStyle w:val="38"/>
        <w:spacing w:after="240" w:afterLines="100" w:line="300" w:lineRule="auto"/>
        <w:ind w:left="709" w:leftChars="337" w:hanging="1"/>
        <w:jc w:val="both"/>
        <w:rPr>
          <w:rFonts w:ascii="Times New Roman"/>
          <w:b/>
          <w:kern w:val="2"/>
          <w:sz w:val="23"/>
        </w:rPr>
      </w:pPr>
      <w:r>
        <w:rPr>
          <w:rFonts w:hint="eastAsia" w:ascii="Times New Roman"/>
          <w:b/>
          <w:kern w:val="2"/>
          <w:sz w:val="23"/>
        </w:rPr>
        <w:t>各方已经知悉并理解本协议全部条款（包括但不限于通知与送达条款），并自愿承担相应法律后果。本协议和其中的条款、承诺、条件、规定、责任、谅解、权利和利益，包括其附件、附录和附表，应对本协议各方、及其各自的承继人和被允许的受让人具有约束力，并对其适用。如果乙方由一个以上的签署方构成，该等签署方全体应作为共同的乙方就本协议项下乙方的全部义务承担连带责任。</w:t>
      </w:r>
    </w:p>
    <w:p w14:paraId="32C038FD">
      <w:pPr>
        <w:pStyle w:val="32"/>
        <w:numPr>
          <w:ilvl w:val="1"/>
          <w:numId w:val="4"/>
        </w:numPr>
        <w:spacing w:after="240" w:afterLines="100" w:line="300" w:lineRule="auto"/>
        <w:jc w:val="both"/>
        <w:outlineLvl w:val="1"/>
        <w:rPr>
          <w:rFonts w:ascii="Times New Roman"/>
          <w:color w:val="auto"/>
          <w:kern w:val="2"/>
          <w:sz w:val="23"/>
        </w:rPr>
      </w:pPr>
      <w:r>
        <w:rPr>
          <w:rFonts w:hint="eastAsia" w:ascii="Times New Roman"/>
          <w:color w:val="auto"/>
          <w:kern w:val="2"/>
          <w:sz w:val="23"/>
        </w:rPr>
        <w:t>正本份数</w:t>
      </w:r>
    </w:p>
    <w:p w14:paraId="7CB5AA98">
      <w:pPr>
        <w:pStyle w:val="38"/>
        <w:spacing w:after="240" w:afterLines="100" w:line="300" w:lineRule="auto"/>
        <w:ind w:left="709" w:leftChars="337" w:hanging="1"/>
        <w:jc w:val="both"/>
        <w:rPr>
          <w:rFonts w:ascii="Times New Roman"/>
          <w:kern w:val="2"/>
          <w:sz w:val="23"/>
        </w:rPr>
      </w:pPr>
      <w:r>
        <w:rPr>
          <w:rFonts w:ascii="Times New Roman"/>
          <w:kern w:val="2"/>
          <w:sz w:val="23"/>
        </w:rPr>
        <w:t>本协议正本一式【肆】份，双方各执【贰】份。</w:t>
      </w:r>
    </w:p>
    <w:p w14:paraId="20A5C381">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无第三方受益人</w:t>
      </w:r>
    </w:p>
    <w:p w14:paraId="5369DFC9">
      <w:pPr>
        <w:pStyle w:val="38"/>
        <w:spacing w:after="240" w:afterLines="100" w:line="300" w:lineRule="auto"/>
        <w:ind w:left="709" w:leftChars="337" w:hanging="1"/>
        <w:jc w:val="both"/>
        <w:rPr>
          <w:rFonts w:ascii="Times New Roman"/>
          <w:kern w:val="2"/>
          <w:sz w:val="23"/>
        </w:rPr>
      </w:pPr>
      <w:r>
        <w:rPr>
          <w:rFonts w:ascii="Times New Roman"/>
          <w:kern w:val="2"/>
          <w:sz w:val="23"/>
        </w:rPr>
        <w:t>除了甲方和乙方</w:t>
      </w:r>
      <w:r>
        <w:rPr>
          <w:rFonts w:hint="eastAsia" w:ascii="Times New Roman"/>
          <w:kern w:val="2"/>
          <w:sz w:val="23"/>
        </w:rPr>
        <w:t>（</w:t>
      </w:r>
      <w:r>
        <w:rPr>
          <w:rFonts w:ascii="Times New Roman"/>
          <w:kern w:val="2"/>
          <w:sz w:val="23"/>
        </w:rPr>
        <w:t>及各自承继人</w:t>
      </w:r>
      <w:r>
        <w:rPr>
          <w:rFonts w:hint="eastAsia" w:ascii="Times New Roman"/>
          <w:kern w:val="2"/>
          <w:sz w:val="23"/>
        </w:rPr>
        <w:t>）</w:t>
      </w:r>
      <w:r>
        <w:rPr>
          <w:rFonts w:ascii="Times New Roman"/>
          <w:kern w:val="2"/>
          <w:sz w:val="23"/>
        </w:rPr>
        <w:t>，任何其他人均不应根据本协议享有权利或权利主张。</w:t>
      </w:r>
    </w:p>
    <w:p w14:paraId="06F01048">
      <w:pPr>
        <w:pStyle w:val="32"/>
        <w:numPr>
          <w:ilvl w:val="1"/>
          <w:numId w:val="4"/>
        </w:numPr>
        <w:spacing w:after="240" w:afterLines="100" w:line="300" w:lineRule="auto"/>
        <w:jc w:val="both"/>
        <w:outlineLvl w:val="1"/>
        <w:rPr>
          <w:rFonts w:ascii="Times New Roman"/>
          <w:color w:val="auto"/>
          <w:kern w:val="2"/>
          <w:sz w:val="23"/>
        </w:rPr>
      </w:pPr>
      <w:r>
        <w:rPr>
          <w:rFonts w:ascii="Times New Roman"/>
          <w:color w:val="auto"/>
          <w:kern w:val="2"/>
          <w:sz w:val="23"/>
        </w:rPr>
        <w:t>生效</w:t>
      </w:r>
    </w:p>
    <w:p w14:paraId="702096FD">
      <w:pPr>
        <w:pStyle w:val="38"/>
        <w:spacing w:after="240" w:afterLines="100" w:line="300" w:lineRule="auto"/>
        <w:ind w:left="709" w:leftChars="337" w:hanging="1"/>
        <w:jc w:val="both"/>
        <w:rPr>
          <w:rFonts w:ascii="Times New Roman"/>
          <w:kern w:val="2"/>
          <w:sz w:val="23"/>
        </w:rPr>
      </w:pPr>
      <w:r>
        <w:rPr>
          <w:rFonts w:ascii="Times New Roman"/>
          <w:kern w:val="2"/>
          <w:sz w:val="23"/>
        </w:rPr>
        <w:t>本协议自</w:t>
      </w:r>
      <w:r>
        <w:rPr>
          <w:rFonts w:hint="eastAsia" w:ascii="Times New Roman"/>
          <w:kern w:val="2"/>
          <w:sz w:val="23"/>
        </w:rPr>
        <w:t>甲方</w:t>
      </w:r>
      <w:r>
        <w:rPr>
          <w:rFonts w:ascii="Times New Roman"/>
          <w:kern w:val="2"/>
          <w:sz w:val="23"/>
        </w:rPr>
        <w:t>和乙方</w:t>
      </w:r>
      <w:r>
        <w:rPr>
          <w:rFonts w:hint="eastAsia" w:ascii="Times New Roman"/>
          <w:kern w:val="2"/>
          <w:sz w:val="23"/>
        </w:rPr>
        <w:t>的</w:t>
      </w:r>
      <w:r>
        <w:rPr>
          <w:rFonts w:ascii="Times New Roman"/>
          <w:kern w:val="2"/>
          <w:sz w:val="23"/>
        </w:rPr>
        <w:t>法定代表人</w:t>
      </w:r>
      <w:r>
        <w:rPr>
          <w:rFonts w:hint="eastAsia" w:ascii="Times New Roman"/>
          <w:kern w:val="2"/>
          <w:sz w:val="23"/>
        </w:rPr>
        <w:t>（负责人）</w:t>
      </w:r>
      <w:r>
        <w:rPr>
          <w:rFonts w:ascii="Times New Roman"/>
          <w:kern w:val="2"/>
          <w:sz w:val="23"/>
        </w:rPr>
        <w:t>或其授权代表签名</w:t>
      </w:r>
      <w:r>
        <w:rPr>
          <w:rFonts w:hint="eastAsia" w:ascii="Times New Roman"/>
          <w:kern w:val="2"/>
          <w:sz w:val="23"/>
        </w:rPr>
        <w:t>或盖章</w:t>
      </w:r>
      <w:r>
        <w:rPr>
          <w:rFonts w:ascii="Times New Roman"/>
          <w:kern w:val="2"/>
          <w:sz w:val="23"/>
        </w:rPr>
        <w:t>并加盖双方公章之日起成立并生效。</w:t>
      </w:r>
    </w:p>
    <w:p w14:paraId="79163C51">
      <w:pPr>
        <w:pStyle w:val="32"/>
        <w:numPr>
          <w:ilvl w:val="0"/>
          <w:numId w:val="4"/>
        </w:numPr>
        <w:spacing w:after="240" w:afterLines="100" w:line="300" w:lineRule="auto"/>
        <w:jc w:val="both"/>
        <w:outlineLvl w:val="0"/>
        <w:rPr>
          <w:rFonts w:ascii="Times New Roman"/>
          <w:b/>
          <w:bCs/>
          <w:color w:val="auto"/>
          <w:kern w:val="2"/>
          <w:sz w:val="23"/>
          <w:szCs w:val="28"/>
        </w:rPr>
      </w:pPr>
      <w:bookmarkStart w:id="57" w:name="_Toc240895615"/>
      <w:r>
        <w:rPr>
          <w:rFonts w:ascii="Times New Roman"/>
          <w:b/>
          <w:bCs/>
          <w:color w:val="auto"/>
          <w:kern w:val="2"/>
          <w:sz w:val="23"/>
          <w:szCs w:val="28"/>
        </w:rPr>
        <w:t>本协议附件</w:t>
      </w:r>
      <w:bookmarkEnd w:id="57"/>
      <w:r>
        <w:rPr>
          <w:rFonts w:ascii="Times New Roman"/>
          <w:b/>
          <w:bCs/>
          <w:color w:val="auto"/>
          <w:kern w:val="2"/>
          <w:sz w:val="23"/>
          <w:szCs w:val="28"/>
        </w:rPr>
        <w:tab/>
      </w:r>
      <w:r>
        <w:rPr>
          <w:rFonts w:ascii="Times New Roman"/>
          <w:b/>
          <w:bCs/>
          <w:color w:val="auto"/>
          <w:kern w:val="2"/>
          <w:sz w:val="23"/>
          <w:szCs w:val="28"/>
        </w:rPr>
        <w:t xml:space="preserve">             </w:t>
      </w:r>
    </w:p>
    <w:p w14:paraId="42E2E96B">
      <w:pPr>
        <w:pStyle w:val="32"/>
        <w:spacing w:after="240" w:afterLines="100" w:line="300" w:lineRule="auto"/>
        <w:ind w:left="709"/>
        <w:jc w:val="both"/>
        <w:outlineLvl w:val="1"/>
        <w:rPr>
          <w:rFonts w:ascii="Times New Roman"/>
          <w:color w:val="auto"/>
          <w:kern w:val="2"/>
          <w:sz w:val="23"/>
        </w:rPr>
      </w:pPr>
      <w:r>
        <w:rPr>
          <w:rFonts w:ascii="Times New Roman"/>
          <w:color w:val="auto"/>
          <w:kern w:val="2"/>
          <w:sz w:val="23"/>
        </w:rPr>
        <w:t>本协议包括以下附件</w:t>
      </w:r>
    </w:p>
    <w:p w14:paraId="246DD28C">
      <w:pPr>
        <w:pStyle w:val="32"/>
        <w:spacing w:after="240" w:afterLines="100" w:line="300" w:lineRule="auto"/>
        <w:ind w:left="709"/>
        <w:jc w:val="both"/>
        <w:outlineLvl w:val="1"/>
        <w:rPr>
          <w:rFonts w:ascii="Times New Roman"/>
          <w:color w:val="auto"/>
          <w:kern w:val="2"/>
          <w:sz w:val="23"/>
        </w:rPr>
      </w:pPr>
      <w:r>
        <w:rPr>
          <w:rFonts w:ascii="Times New Roman"/>
          <w:color w:val="auto"/>
          <w:kern w:val="2"/>
          <w:sz w:val="23"/>
        </w:rPr>
        <w:t>附件1：标的资产清单</w:t>
      </w:r>
    </w:p>
    <w:p w14:paraId="60DE2787">
      <w:pPr>
        <w:pStyle w:val="32"/>
        <w:spacing w:after="240" w:afterLines="100" w:line="300" w:lineRule="auto"/>
        <w:ind w:left="709"/>
        <w:jc w:val="both"/>
        <w:outlineLvl w:val="1"/>
        <w:rPr>
          <w:rFonts w:ascii="Times New Roman"/>
          <w:color w:val="auto"/>
          <w:kern w:val="2"/>
          <w:sz w:val="23"/>
        </w:rPr>
      </w:pPr>
      <w:r>
        <w:rPr>
          <w:rFonts w:ascii="Times New Roman"/>
          <w:color w:val="auto"/>
          <w:kern w:val="2"/>
          <w:sz w:val="23"/>
        </w:rPr>
        <w:t>附件2：第三方协议清单</w:t>
      </w:r>
    </w:p>
    <w:p w14:paraId="40018572">
      <w:pPr>
        <w:pStyle w:val="32"/>
        <w:spacing w:after="240" w:afterLines="100" w:line="300" w:lineRule="auto"/>
        <w:ind w:left="709"/>
        <w:jc w:val="both"/>
        <w:outlineLvl w:val="1"/>
        <w:rPr>
          <w:rFonts w:ascii="Times New Roman"/>
          <w:color w:val="auto"/>
          <w:kern w:val="2"/>
          <w:sz w:val="23"/>
        </w:rPr>
      </w:pPr>
      <w:r>
        <w:rPr>
          <w:rFonts w:ascii="Times New Roman"/>
          <w:color w:val="auto"/>
          <w:kern w:val="2"/>
          <w:sz w:val="23"/>
        </w:rPr>
        <w:t>附件3：关于资产转让的确认函</w:t>
      </w:r>
    </w:p>
    <w:p w14:paraId="5C045C3A">
      <w:pPr>
        <w:pStyle w:val="32"/>
        <w:spacing w:after="240" w:afterLines="100" w:line="300" w:lineRule="auto"/>
        <w:ind w:left="709"/>
        <w:jc w:val="both"/>
        <w:outlineLvl w:val="1"/>
        <w:rPr>
          <w:rFonts w:ascii="Times New Roman"/>
          <w:color w:val="auto"/>
          <w:kern w:val="2"/>
          <w:sz w:val="23"/>
        </w:rPr>
      </w:pPr>
      <w:r>
        <w:rPr>
          <w:rFonts w:ascii="Times New Roman"/>
          <w:color w:val="auto"/>
          <w:kern w:val="2"/>
          <w:sz w:val="23"/>
        </w:rPr>
        <w:t>附件作为本协议不可分割的组成部分，与本协议具有同等效力。</w:t>
      </w:r>
    </w:p>
    <w:p w14:paraId="1C1E05A0">
      <w:pPr>
        <w:pStyle w:val="59"/>
        <w:spacing w:after="240" w:afterLines="100" w:line="300" w:lineRule="auto"/>
        <w:jc w:val="center"/>
        <w:rPr>
          <w:rFonts w:ascii="Times New Roman"/>
          <w:kern w:val="2"/>
          <w:sz w:val="23"/>
        </w:rPr>
      </w:pPr>
      <w:r>
        <w:rPr>
          <w:rFonts w:ascii="Times New Roman"/>
          <w:kern w:val="2"/>
          <w:sz w:val="23"/>
        </w:rPr>
        <w:t>（本页以下无正文）</w:t>
      </w:r>
    </w:p>
    <w:p w14:paraId="1E1B27E4">
      <w:pPr>
        <w:pStyle w:val="59"/>
        <w:spacing w:after="240" w:afterLines="100" w:line="300" w:lineRule="auto"/>
        <w:jc w:val="center"/>
        <w:rPr>
          <w:rFonts w:ascii="Times New Roman"/>
          <w:b/>
          <w:sz w:val="23"/>
        </w:rPr>
      </w:pPr>
      <w:r>
        <w:rPr>
          <w:rFonts w:ascii="Times New Roman"/>
          <w:kern w:val="2"/>
          <w:sz w:val="23"/>
        </w:rPr>
        <w:br w:type="page"/>
      </w:r>
      <w:r>
        <w:rPr>
          <w:rFonts w:ascii="Times New Roman"/>
          <w:b/>
          <w:sz w:val="23"/>
        </w:rPr>
        <w:t>（本页无正文，系合同编号为【】的《资产转让协议》之签署页）</w:t>
      </w:r>
    </w:p>
    <w:p w14:paraId="1F95F71A">
      <w:pPr>
        <w:spacing w:after="240" w:afterLines="100" w:line="300" w:lineRule="auto"/>
        <w:rPr>
          <w:sz w:val="23"/>
        </w:rPr>
      </w:pPr>
      <w:r>
        <w:rPr>
          <w:sz w:val="23"/>
        </w:rPr>
        <w:t xml:space="preserve">      </w:t>
      </w:r>
    </w:p>
    <w:p w14:paraId="3A196C85">
      <w:pPr>
        <w:spacing w:after="240" w:afterLines="100" w:line="300" w:lineRule="auto"/>
        <w:rPr>
          <w:b/>
          <w:sz w:val="23"/>
        </w:rPr>
      </w:pPr>
      <w:r>
        <w:rPr>
          <w:rFonts w:hint="eastAsia"/>
          <w:b/>
          <w:sz w:val="23"/>
        </w:rPr>
        <w:t>甲方</w:t>
      </w:r>
      <w:r>
        <w:rPr>
          <w:b/>
          <w:sz w:val="23"/>
        </w:rPr>
        <w:t>：</w:t>
      </w:r>
      <w:r>
        <w:rPr>
          <w:b/>
          <w:bCs/>
          <w:sz w:val="23"/>
        </w:rPr>
        <w:t>中国东方资产管理股份有限公司</w:t>
      </w:r>
      <w:r>
        <w:rPr>
          <w:rFonts w:hint="eastAsia"/>
          <w:b/>
          <w:sz w:val="23"/>
        </w:rPr>
        <w:t>山东省</w:t>
      </w:r>
      <w:r>
        <w:rPr>
          <w:b/>
          <w:sz w:val="23"/>
        </w:rPr>
        <w:t>分公司（盖章）</w:t>
      </w:r>
    </w:p>
    <w:p w14:paraId="7832714D">
      <w:pPr>
        <w:spacing w:after="240" w:afterLines="100" w:line="300" w:lineRule="auto"/>
        <w:rPr>
          <w:b/>
          <w:sz w:val="23"/>
        </w:rPr>
      </w:pPr>
      <w:r>
        <w:rPr>
          <w:b/>
          <w:sz w:val="23"/>
        </w:rPr>
        <w:t>法定代表人（负责人）/授权代表：</w:t>
      </w:r>
    </w:p>
    <w:p w14:paraId="68D7E491">
      <w:pPr>
        <w:spacing w:after="240" w:afterLines="100" w:line="300" w:lineRule="auto"/>
        <w:rPr>
          <w:b/>
          <w:sz w:val="23"/>
        </w:rPr>
      </w:pPr>
    </w:p>
    <w:p w14:paraId="134BDCF8">
      <w:pPr>
        <w:spacing w:after="240" w:afterLines="100" w:line="300" w:lineRule="auto"/>
        <w:rPr>
          <w:sz w:val="23"/>
        </w:rPr>
      </w:pPr>
      <w:r>
        <w:rPr>
          <w:sz w:val="23"/>
          <w:u w:val="single"/>
        </w:rPr>
        <w:t xml:space="preserve">                                           </w:t>
      </w:r>
      <w:r>
        <w:rPr>
          <w:sz w:val="23"/>
        </w:rPr>
        <w:t>（签名</w:t>
      </w:r>
      <w:r>
        <w:rPr>
          <w:rFonts w:hint="eastAsia"/>
          <w:sz w:val="23"/>
        </w:rPr>
        <w:t>或盖章</w:t>
      </w:r>
      <w:r>
        <w:rPr>
          <w:sz w:val="23"/>
        </w:rPr>
        <w:t>）</w:t>
      </w:r>
    </w:p>
    <w:p w14:paraId="0D00D70F">
      <w:pPr>
        <w:spacing w:after="240" w:afterLines="100" w:line="300" w:lineRule="auto"/>
        <w:rPr>
          <w:sz w:val="23"/>
        </w:rPr>
      </w:pPr>
    </w:p>
    <w:p w14:paraId="62ED376B">
      <w:pPr>
        <w:spacing w:after="240" w:afterLines="100" w:line="300" w:lineRule="auto"/>
        <w:rPr>
          <w:sz w:val="23"/>
        </w:rPr>
      </w:pPr>
    </w:p>
    <w:p w14:paraId="4A834D4E">
      <w:pPr>
        <w:spacing w:after="240" w:afterLines="100" w:line="300" w:lineRule="auto"/>
        <w:rPr>
          <w:b/>
          <w:sz w:val="23"/>
        </w:rPr>
      </w:pPr>
      <w:r>
        <w:rPr>
          <w:rFonts w:hint="eastAsia"/>
          <w:b/>
          <w:sz w:val="23"/>
        </w:rPr>
        <w:t>乙</w:t>
      </w:r>
      <w:r>
        <w:rPr>
          <w:b/>
          <w:sz w:val="23"/>
        </w:rPr>
        <w:t>方：【】（盖章）</w:t>
      </w:r>
    </w:p>
    <w:p w14:paraId="13CA38ED">
      <w:pPr>
        <w:spacing w:after="240" w:afterLines="100" w:line="300" w:lineRule="auto"/>
        <w:rPr>
          <w:b/>
          <w:sz w:val="23"/>
        </w:rPr>
      </w:pPr>
      <w:r>
        <w:rPr>
          <w:b/>
          <w:sz w:val="23"/>
        </w:rPr>
        <w:t>法定代表人（负责人） / 授权代表：</w:t>
      </w:r>
    </w:p>
    <w:p w14:paraId="6E407613">
      <w:pPr>
        <w:spacing w:after="240" w:afterLines="100" w:line="300" w:lineRule="auto"/>
        <w:rPr>
          <w:b/>
          <w:sz w:val="23"/>
        </w:rPr>
      </w:pPr>
    </w:p>
    <w:p w14:paraId="0E73FCD2">
      <w:pPr>
        <w:spacing w:after="240" w:afterLines="100" w:line="300" w:lineRule="auto"/>
        <w:rPr>
          <w:sz w:val="23"/>
        </w:rPr>
      </w:pPr>
      <w:r>
        <w:rPr>
          <w:sz w:val="23"/>
          <w:u w:val="single"/>
        </w:rPr>
        <w:t xml:space="preserve">                                           </w:t>
      </w:r>
      <w:r>
        <w:rPr>
          <w:sz w:val="23"/>
        </w:rPr>
        <w:t>（签名</w:t>
      </w:r>
      <w:r>
        <w:rPr>
          <w:rFonts w:hint="eastAsia"/>
          <w:sz w:val="23"/>
        </w:rPr>
        <w:t>或盖章</w:t>
      </w:r>
      <w:r>
        <w:rPr>
          <w:sz w:val="23"/>
        </w:rPr>
        <w:t>）</w:t>
      </w:r>
    </w:p>
    <w:p w14:paraId="6570A3D8">
      <w:pPr>
        <w:spacing w:after="240" w:afterLines="100" w:line="300" w:lineRule="auto"/>
        <w:rPr>
          <w:sz w:val="23"/>
        </w:rPr>
      </w:pPr>
    </w:p>
    <w:p w14:paraId="793069EF">
      <w:pPr>
        <w:spacing w:after="240" w:afterLines="100" w:line="300" w:lineRule="auto"/>
        <w:rPr>
          <w:sz w:val="23"/>
        </w:rPr>
      </w:pPr>
    </w:p>
    <w:p w14:paraId="659DCDAF">
      <w:pPr>
        <w:spacing w:after="240" w:afterLines="100" w:line="300" w:lineRule="auto"/>
        <w:rPr>
          <w:sz w:val="23"/>
        </w:rPr>
      </w:pPr>
    </w:p>
    <w:p w14:paraId="21F80063">
      <w:pPr>
        <w:spacing w:after="240" w:afterLines="100" w:line="300" w:lineRule="auto"/>
        <w:rPr>
          <w:sz w:val="23"/>
        </w:rPr>
      </w:pPr>
    </w:p>
    <w:p w14:paraId="11E85A7A">
      <w:pPr>
        <w:spacing w:after="240" w:afterLines="100" w:line="300" w:lineRule="auto"/>
        <w:rPr>
          <w:sz w:val="23"/>
          <w:szCs w:val="28"/>
        </w:rPr>
      </w:pPr>
      <w:r>
        <w:rPr>
          <w:sz w:val="23"/>
          <w:szCs w:val="28"/>
        </w:rPr>
        <w:t>签约日期：</w:t>
      </w:r>
      <w:r>
        <w:rPr>
          <w:b/>
          <w:bCs/>
          <w:sz w:val="23"/>
          <w:szCs w:val="28"/>
          <w:u w:val="single"/>
        </w:rPr>
        <w:t xml:space="preserve">        </w:t>
      </w:r>
      <w:r>
        <w:rPr>
          <w:sz w:val="23"/>
          <w:szCs w:val="28"/>
        </w:rPr>
        <w:t>年</w:t>
      </w:r>
      <w:r>
        <w:rPr>
          <w:b/>
          <w:bCs/>
          <w:sz w:val="23"/>
          <w:szCs w:val="28"/>
          <w:u w:val="single"/>
        </w:rPr>
        <w:t xml:space="preserve">      </w:t>
      </w:r>
      <w:r>
        <w:rPr>
          <w:sz w:val="23"/>
          <w:szCs w:val="28"/>
        </w:rPr>
        <w:t>月</w:t>
      </w:r>
      <w:r>
        <w:rPr>
          <w:b/>
          <w:bCs/>
          <w:sz w:val="23"/>
          <w:szCs w:val="28"/>
          <w:u w:val="single"/>
        </w:rPr>
        <w:t xml:space="preserve">      </w:t>
      </w:r>
      <w:r>
        <w:rPr>
          <w:sz w:val="23"/>
          <w:szCs w:val="28"/>
        </w:rPr>
        <w:t>日</w:t>
      </w:r>
    </w:p>
    <w:p w14:paraId="72FE1963">
      <w:pPr>
        <w:spacing w:after="240" w:afterLines="100" w:line="300" w:lineRule="auto"/>
        <w:rPr>
          <w:bCs/>
          <w:sz w:val="23"/>
          <w:szCs w:val="28"/>
          <w:u w:val="single"/>
        </w:rPr>
      </w:pPr>
      <w:r>
        <w:rPr>
          <w:sz w:val="23"/>
          <w:szCs w:val="28"/>
        </w:rPr>
        <w:t>签约地点：</w:t>
      </w:r>
      <w:r>
        <w:rPr>
          <w:bCs/>
          <w:sz w:val="23"/>
          <w:szCs w:val="28"/>
          <w:u w:val="single"/>
        </w:rPr>
        <w:t xml:space="preserve">               </w:t>
      </w:r>
    </w:p>
    <w:p w14:paraId="25D29F6C"/>
    <w:p w14:paraId="68EA566E">
      <w:pPr>
        <w:pStyle w:val="32"/>
        <w:spacing w:after="240" w:afterLines="100" w:line="300" w:lineRule="auto"/>
        <w:jc w:val="both"/>
        <w:outlineLvl w:val="0"/>
        <w:rPr>
          <w:rFonts w:ascii="Times New Roman"/>
          <w:b/>
          <w:bCs/>
          <w:color w:val="auto"/>
          <w:kern w:val="2"/>
          <w:sz w:val="23"/>
          <w:szCs w:val="28"/>
        </w:rPr>
      </w:pPr>
    </w:p>
    <w:p w14:paraId="43FCDACB">
      <w:pPr>
        <w:sectPr>
          <w:type w:val="continuous"/>
          <w:pgSz w:w="11907" w:h="16839"/>
          <w:pgMar w:top="1440" w:right="1800" w:bottom="820" w:left="1800" w:header="720" w:footer="720" w:gutter="0"/>
          <w:cols w:space="720" w:num="1"/>
        </w:sectPr>
      </w:pPr>
      <w:r>
        <w:br w:type="page"/>
      </w:r>
      <w:bookmarkStart w:id="58" w:name="_Toc495656879"/>
      <w:bookmarkStart w:id="59" w:name="_Toc479296824"/>
      <w:bookmarkStart w:id="60" w:name="_Toc467844824"/>
      <w:bookmarkStart w:id="61" w:name="_Toc495597280"/>
      <w:bookmarkStart w:id="62" w:name="_Toc512256842"/>
      <w:bookmarkStart w:id="63" w:name="_Toc518569667"/>
      <w:bookmarkStart w:id="64" w:name="_Toc500147346"/>
      <w:bookmarkStart w:id="65" w:name="_Toc492025749"/>
      <w:bookmarkStart w:id="66" w:name="_Toc500495485"/>
    </w:p>
    <w:bookmarkEnd w:id="58"/>
    <w:bookmarkEnd w:id="59"/>
    <w:bookmarkEnd w:id="60"/>
    <w:bookmarkEnd w:id="61"/>
    <w:bookmarkEnd w:id="62"/>
    <w:bookmarkEnd w:id="63"/>
    <w:bookmarkEnd w:id="64"/>
    <w:bookmarkEnd w:id="65"/>
    <w:bookmarkEnd w:id="66"/>
    <w:p w14:paraId="7673A1E1">
      <w:pPr>
        <w:pStyle w:val="32"/>
        <w:spacing w:after="120" w:afterLines="50" w:line="360" w:lineRule="exact"/>
        <w:jc w:val="both"/>
        <w:outlineLvl w:val="0"/>
        <w:rPr>
          <w:rFonts w:ascii="Times New Roman"/>
          <w:b/>
          <w:bCs/>
          <w:color w:val="auto"/>
          <w:kern w:val="2"/>
          <w:sz w:val="23"/>
          <w:szCs w:val="28"/>
        </w:rPr>
      </w:pPr>
      <w:bookmarkStart w:id="67" w:name="_Toc240895616"/>
      <w:r>
        <w:rPr>
          <w:rFonts w:ascii="Times New Roman"/>
          <w:b/>
          <w:bCs/>
          <w:color w:val="auto"/>
          <w:kern w:val="2"/>
          <w:sz w:val="23"/>
          <w:szCs w:val="28"/>
        </w:rPr>
        <w:t>附件1    标的资产清单</w:t>
      </w:r>
      <w:bookmarkEnd w:id="67"/>
    </w:p>
    <w:p w14:paraId="47161216">
      <w:pPr>
        <w:spacing w:after="240" w:afterLines="100" w:line="360" w:lineRule="exact"/>
        <w:jc w:val="center"/>
        <w:rPr>
          <w:b/>
          <w:sz w:val="23"/>
          <w:szCs w:val="28"/>
        </w:rPr>
      </w:pPr>
      <w:r>
        <w:rPr>
          <w:rFonts w:hint="eastAsia"/>
          <w:b/>
          <w:sz w:val="23"/>
          <w:szCs w:val="28"/>
        </w:rPr>
        <w:t>标的资产清单</w:t>
      </w:r>
    </w:p>
    <w:p w14:paraId="4A209993">
      <w:pPr>
        <w:spacing w:after="240" w:afterLines="100" w:line="300" w:lineRule="auto"/>
        <w:rPr>
          <w:sz w:val="23"/>
          <w:szCs w:val="28"/>
        </w:rPr>
      </w:pPr>
      <w:r>
        <w:rPr>
          <w:rFonts w:hint="eastAsia"/>
          <w:sz w:val="23"/>
          <w:szCs w:val="28"/>
        </w:rPr>
        <w:t>标的资产清单A：债权标的资产清单（单位：人民币万元，截至2026年6月20日）</w:t>
      </w:r>
    </w:p>
    <w:tbl>
      <w:tblPr>
        <w:tblStyle w:val="25"/>
        <w:tblW w:w="46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7"/>
        <w:gridCol w:w="1834"/>
        <w:gridCol w:w="1468"/>
        <w:gridCol w:w="1438"/>
        <w:gridCol w:w="5724"/>
        <w:gridCol w:w="1441"/>
      </w:tblGrid>
      <w:tr w14:paraId="1C92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jc w:val="center"/>
        </w:trPr>
        <w:tc>
          <w:tcPr>
            <w:tcW w:w="703" w:type="pct"/>
            <w:vAlign w:val="center"/>
          </w:tcPr>
          <w:p w14:paraId="2EDE19FD">
            <w:pPr>
              <w:spacing w:line="400" w:lineRule="exact"/>
              <w:jc w:val="center"/>
              <w:rPr>
                <w:rFonts w:ascii="仿宋_GB2312" w:eastAsia="仿宋_GB2312"/>
              </w:rPr>
            </w:pPr>
            <w:r>
              <w:rPr>
                <w:rFonts w:ascii="仿宋_GB2312" w:eastAsia="仿宋_GB2312"/>
              </w:rPr>
              <w:t>借款人名称</w:t>
            </w:r>
          </w:p>
        </w:tc>
        <w:tc>
          <w:tcPr>
            <w:tcW w:w="662" w:type="pct"/>
            <w:vAlign w:val="center"/>
          </w:tcPr>
          <w:p w14:paraId="1997CE90">
            <w:pPr>
              <w:spacing w:line="400" w:lineRule="exact"/>
              <w:jc w:val="center"/>
              <w:rPr>
                <w:rFonts w:ascii="仿宋_GB2312" w:eastAsia="仿宋_GB2312"/>
              </w:rPr>
            </w:pPr>
            <w:r>
              <w:rPr>
                <w:rFonts w:ascii="仿宋_GB2312" w:eastAsia="仿宋_GB2312"/>
              </w:rPr>
              <w:t>本金</w:t>
            </w:r>
          </w:p>
        </w:tc>
        <w:tc>
          <w:tcPr>
            <w:tcW w:w="530" w:type="pct"/>
            <w:vAlign w:val="center"/>
          </w:tcPr>
          <w:p w14:paraId="6FDC2102">
            <w:pPr>
              <w:spacing w:line="400" w:lineRule="exact"/>
              <w:jc w:val="center"/>
              <w:rPr>
                <w:rFonts w:ascii="仿宋_GB2312" w:eastAsia="仿宋_GB2312"/>
              </w:rPr>
            </w:pPr>
            <w:r>
              <w:rPr>
                <w:rFonts w:ascii="仿宋_GB2312" w:eastAsia="仿宋_GB2312"/>
              </w:rPr>
              <w:t>利息</w:t>
            </w:r>
          </w:p>
        </w:tc>
        <w:tc>
          <w:tcPr>
            <w:tcW w:w="519" w:type="pct"/>
            <w:vAlign w:val="center"/>
          </w:tcPr>
          <w:p w14:paraId="6AEB3A7E">
            <w:pPr>
              <w:spacing w:line="400" w:lineRule="exact"/>
              <w:jc w:val="center"/>
              <w:rPr>
                <w:rFonts w:ascii="仿宋_GB2312" w:eastAsia="仿宋_GB2312"/>
              </w:rPr>
            </w:pPr>
            <w:r>
              <w:rPr>
                <w:rFonts w:ascii="仿宋_GB2312" w:hAnsi="Calibri" w:eastAsia="仿宋_GB2312"/>
              </w:rPr>
              <w:t>垫付费用</w:t>
            </w:r>
          </w:p>
        </w:tc>
        <w:tc>
          <w:tcPr>
            <w:tcW w:w="2066" w:type="pct"/>
            <w:vAlign w:val="center"/>
          </w:tcPr>
          <w:p w14:paraId="5D2FDBD9">
            <w:pPr>
              <w:spacing w:line="400" w:lineRule="exact"/>
              <w:jc w:val="center"/>
              <w:rPr>
                <w:rFonts w:ascii="仿宋_GB2312" w:eastAsia="仿宋_GB2312"/>
              </w:rPr>
            </w:pPr>
            <w:r>
              <w:rPr>
                <w:rFonts w:ascii="仿宋_GB2312" w:eastAsia="仿宋_GB2312"/>
              </w:rPr>
              <w:t>担保情况</w:t>
            </w:r>
          </w:p>
        </w:tc>
        <w:tc>
          <w:tcPr>
            <w:tcW w:w="520" w:type="pct"/>
            <w:vAlign w:val="center"/>
          </w:tcPr>
          <w:p w14:paraId="1011F937">
            <w:pPr>
              <w:spacing w:line="400" w:lineRule="exact"/>
              <w:jc w:val="center"/>
              <w:rPr>
                <w:rFonts w:ascii="仿宋_GB2312" w:eastAsia="仿宋_GB2312"/>
              </w:rPr>
            </w:pPr>
            <w:r>
              <w:rPr>
                <w:rFonts w:ascii="仿宋_GB2312" w:eastAsia="仿宋_GB2312"/>
              </w:rPr>
              <w:t>当前资产状况</w:t>
            </w:r>
          </w:p>
        </w:tc>
      </w:tr>
      <w:tr w14:paraId="4688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jc w:val="center"/>
        </w:trPr>
        <w:tc>
          <w:tcPr>
            <w:tcW w:w="703" w:type="pct"/>
            <w:vAlign w:val="center"/>
          </w:tcPr>
          <w:p w14:paraId="360FD815">
            <w:pPr>
              <w:spacing w:line="400" w:lineRule="exact"/>
              <w:jc w:val="center"/>
              <w:rPr>
                <w:rFonts w:ascii="仿宋_GB2312" w:eastAsia="仿宋_GB2312"/>
              </w:rPr>
            </w:pPr>
            <w:r>
              <w:rPr>
                <w:rFonts w:ascii="仿宋_GB2312" w:eastAsia="仿宋_GB2312"/>
              </w:rPr>
              <w:t>潍坊恒安散热器集团有限公司</w:t>
            </w:r>
          </w:p>
        </w:tc>
        <w:tc>
          <w:tcPr>
            <w:tcW w:w="662" w:type="pct"/>
            <w:vAlign w:val="center"/>
          </w:tcPr>
          <w:p w14:paraId="18E17F30">
            <w:pPr>
              <w:widowControl/>
              <w:spacing w:line="400" w:lineRule="exact"/>
              <w:jc w:val="center"/>
              <w:rPr>
                <w:rFonts w:ascii="仿宋_GB2312" w:eastAsia="仿宋_GB2312"/>
              </w:rPr>
            </w:pPr>
            <w:r>
              <w:rPr>
                <w:rFonts w:ascii="仿宋_GB2312" w:eastAsia="仿宋_GB2312"/>
                <w:color w:val="000000"/>
                <w:kern w:val="0"/>
                <w:lang w:bidi="ar"/>
              </w:rPr>
              <w:t>4,899.55</w:t>
            </w:r>
          </w:p>
        </w:tc>
        <w:tc>
          <w:tcPr>
            <w:tcW w:w="530" w:type="pct"/>
            <w:vAlign w:val="center"/>
          </w:tcPr>
          <w:p w14:paraId="1DD91AF3">
            <w:pPr>
              <w:widowControl/>
              <w:spacing w:line="400" w:lineRule="exact"/>
              <w:jc w:val="center"/>
              <w:rPr>
                <w:rFonts w:ascii="仿宋_GB2312" w:eastAsia="仿宋_GB2312"/>
              </w:rPr>
            </w:pPr>
            <w:r>
              <w:rPr>
                <w:rFonts w:ascii="仿宋_GB2312" w:eastAsia="仿宋_GB2312"/>
                <w:color w:val="000000"/>
                <w:kern w:val="0"/>
                <w:lang w:bidi="ar"/>
              </w:rPr>
              <w:t>342.34</w:t>
            </w:r>
          </w:p>
        </w:tc>
        <w:tc>
          <w:tcPr>
            <w:tcW w:w="519" w:type="pct"/>
            <w:vAlign w:val="center"/>
          </w:tcPr>
          <w:p w14:paraId="2CEB8CD5">
            <w:pPr>
              <w:spacing w:line="400" w:lineRule="exact"/>
              <w:jc w:val="center"/>
              <w:rPr>
                <w:rFonts w:ascii="仿宋_GB2312" w:eastAsia="仿宋_GB2312"/>
              </w:rPr>
            </w:pPr>
            <w:r>
              <w:rPr>
                <w:rFonts w:ascii="仿宋_GB2312" w:hAnsi="Calibri" w:eastAsia="仿宋_GB2312"/>
              </w:rPr>
              <w:t xml:space="preserve">29.48 </w:t>
            </w:r>
          </w:p>
        </w:tc>
        <w:tc>
          <w:tcPr>
            <w:tcW w:w="2066" w:type="pct"/>
            <w:vAlign w:val="center"/>
          </w:tcPr>
          <w:p w14:paraId="638695D4">
            <w:pPr>
              <w:spacing w:line="400" w:lineRule="exact"/>
              <w:jc w:val="center"/>
              <w:rPr>
                <w:rFonts w:ascii="仿宋_GB2312" w:eastAsia="仿宋_GB2312"/>
              </w:rPr>
            </w:pPr>
            <w:r>
              <w:rPr>
                <w:rFonts w:ascii="仿宋_GB2312" w:eastAsia="仿宋_GB2312"/>
              </w:rPr>
              <w:t>安丘市潍安国有资产经营有限公司、潍坊恒星散热器有限公司、潍坊恒昊国际贸易有限公司、王钟柱、马春玲</w:t>
            </w:r>
          </w:p>
        </w:tc>
        <w:tc>
          <w:tcPr>
            <w:tcW w:w="520" w:type="pct"/>
            <w:vAlign w:val="center"/>
          </w:tcPr>
          <w:p w14:paraId="3D2EC6AC">
            <w:pPr>
              <w:spacing w:line="400" w:lineRule="exact"/>
              <w:jc w:val="center"/>
              <w:rPr>
                <w:rFonts w:ascii="仿宋_GB2312" w:eastAsia="仿宋_GB2312"/>
              </w:rPr>
            </w:pPr>
            <w:r>
              <w:rPr>
                <w:rFonts w:ascii="仿宋_GB2312" w:eastAsia="仿宋_GB2312"/>
                <w:color w:val="000000"/>
                <w:kern w:val="0"/>
                <w:lang w:bidi="ar"/>
              </w:rPr>
              <w:t>债务人破产重整中</w:t>
            </w:r>
          </w:p>
        </w:tc>
      </w:tr>
    </w:tbl>
    <w:p w14:paraId="29C788BC">
      <w:pPr>
        <w:spacing w:after="240" w:afterLines="100" w:line="300" w:lineRule="auto"/>
        <w:rPr>
          <w:sz w:val="23"/>
          <w:szCs w:val="28"/>
        </w:rPr>
      </w:pPr>
    </w:p>
    <w:p w14:paraId="5FA9594E">
      <w:pPr>
        <w:spacing w:after="240" w:afterLines="100" w:line="300" w:lineRule="auto"/>
        <w:rPr>
          <w:b/>
          <w:sz w:val="23"/>
        </w:rPr>
      </w:pPr>
      <w:r>
        <w:rPr>
          <w:rFonts w:hint="eastAsia"/>
          <w:b/>
          <w:sz w:val="23"/>
        </w:rPr>
        <w:t>甲方</w:t>
      </w:r>
      <w:r>
        <w:rPr>
          <w:b/>
          <w:sz w:val="23"/>
        </w:rPr>
        <w:t>：</w:t>
      </w:r>
      <w:r>
        <w:rPr>
          <w:b/>
          <w:bCs/>
          <w:sz w:val="23"/>
        </w:rPr>
        <w:t>中国东方资产管理股份有限公司</w:t>
      </w:r>
      <w:r>
        <w:rPr>
          <w:rFonts w:hint="eastAsia"/>
          <w:b/>
          <w:sz w:val="23"/>
        </w:rPr>
        <w:t>山东省</w:t>
      </w:r>
      <w:r>
        <w:rPr>
          <w:b/>
          <w:sz w:val="23"/>
        </w:rPr>
        <w:t>分公司（盖章）</w:t>
      </w:r>
    </w:p>
    <w:p w14:paraId="3F572F67">
      <w:pPr>
        <w:spacing w:after="240" w:afterLines="100" w:line="300" w:lineRule="auto"/>
        <w:rPr>
          <w:b/>
          <w:sz w:val="23"/>
        </w:rPr>
      </w:pPr>
      <w:r>
        <w:rPr>
          <w:b/>
          <w:sz w:val="23"/>
        </w:rPr>
        <w:t xml:space="preserve">负责人：   </w:t>
      </w:r>
      <w:r>
        <w:rPr>
          <w:b/>
          <w:sz w:val="23"/>
          <w:u w:val="single"/>
        </w:rPr>
        <w:t xml:space="preserve">                                        </w:t>
      </w:r>
      <w:r>
        <w:rPr>
          <w:b/>
          <w:sz w:val="23"/>
        </w:rPr>
        <w:t>（签名或盖章）</w:t>
      </w:r>
    </w:p>
    <w:p w14:paraId="7CE088EE">
      <w:pPr>
        <w:spacing w:after="240" w:afterLines="100" w:line="300" w:lineRule="auto"/>
        <w:rPr>
          <w:b/>
          <w:sz w:val="23"/>
        </w:rPr>
      </w:pPr>
      <w:r>
        <w:rPr>
          <w:rFonts w:hint="eastAsia"/>
          <w:b/>
          <w:sz w:val="23"/>
        </w:rPr>
        <w:t>乙</w:t>
      </w:r>
      <w:r>
        <w:rPr>
          <w:b/>
          <w:sz w:val="23"/>
        </w:rPr>
        <w:t>方：【</w:t>
      </w:r>
      <w:r>
        <w:rPr>
          <w:rFonts w:hint="eastAsia"/>
          <w:b/>
          <w:sz w:val="23"/>
        </w:rPr>
        <w:t xml:space="preserve">    </w:t>
      </w:r>
      <w:r>
        <w:rPr>
          <w:b/>
          <w:sz w:val="23"/>
        </w:rPr>
        <w:t>】（盖章）</w:t>
      </w:r>
      <w:r>
        <w:rPr>
          <w:rFonts w:hint="eastAsia"/>
          <w:b/>
          <w:sz w:val="23"/>
        </w:rPr>
        <w:t>（自然人签名）</w:t>
      </w:r>
    </w:p>
    <w:p w14:paraId="6D9390DA">
      <w:pPr>
        <w:spacing w:after="240" w:afterLines="100" w:line="300" w:lineRule="auto"/>
        <w:rPr>
          <w:b/>
          <w:bCs/>
          <w:sz w:val="23"/>
          <w:szCs w:val="28"/>
        </w:rPr>
      </w:pPr>
      <w:r>
        <w:rPr>
          <w:b/>
          <w:sz w:val="23"/>
        </w:rPr>
        <w:t>法定代表人（负责人） / 授权代表：</w:t>
      </w:r>
      <w:r>
        <w:rPr>
          <w:rFonts w:hint="eastAsia"/>
          <w:sz w:val="23"/>
          <w:szCs w:val="28"/>
          <w:u w:val="single"/>
        </w:rPr>
        <w:t xml:space="preserve">                        </w:t>
      </w:r>
      <w:bookmarkStart w:id="68" w:name="_Toc500495500"/>
      <w:bookmarkStart w:id="69" w:name="_Toc58924286"/>
      <w:r>
        <w:rPr>
          <w:rFonts w:hint="eastAsia"/>
          <w:sz w:val="23"/>
          <w:szCs w:val="28"/>
        </w:rPr>
        <w:t>（签名或盖章）</w:t>
      </w:r>
      <w:bookmarkEnd w:id="68"/>
      <w:bookmarkEnd w:id="69"/>
      <w:bookmarkStart w:id="70" w:name="_Toc492025750"/>
      <w:bookmarkStart w:id="71" w:name="_Toc479296825"/>
      <w:bookmarkStart w:id="72" w:name="_Toc495656894"/>
      <w:bookmarkStart w:id="73" w:name="_Toc500147361"/>
      <w:bookmarkStart w:id="74" w:name="_Toc467844825"/>
      <w:bookmarkStart w:id="75" w:name="_Toc495597295"/>
    </w:p>
    <w:p w14:paraId="26FD56BC">
      <w:pPr>
        <w:pStyle w:val="32"/>
        <w:spacing w:after="240" w:afterLines="100" w:line="300" w:lineRule="auto"/>
        <w:jc w:val="both"/>
        <w:outlineLvl w:val="0"/>
        <w:rPr>
          <w:rFonts w:ascii="Times New Roman"/>
          <w:b/>
          <w:bCs/>
          <w:color w:val="auto"/>
          <w:kern w:val="2"/>
          <w:sz w:val="23"/>
          <w:szCs w:val="28"/>
        </w:rPr>
        <w:sectPr>
          <w:pgSz w:w="16839" w:h="11907" w:orient="landscape"/>
          <w:pgMar w:top="1644" w:right="1440" w:bottom="1418" w:left="822" w:header="720" w:footer="720" w:gutter="0"/>
          <w:cols w:space="720" w:num="1"/>
          <w:docGrid w:linePitch="286" w:charSpace="0"/>
        </w:sectPr>
      </w:pPr>
    </w:p>
    <w:p w14:paraId="4619D400">
      <w:pPr>
        <w:pStyle w:val="32"/>
        <w:spacing w:after="240" w:afterLines="100" w:line="300" w:lineRule="auto"/>
        <w:jc w:val="both"/>
        <w:outlineLvl w:val="0"/>
        <w:rPr>
          <w:rFonts w:ascii="Times New Roman"/>
          <w:b/>
          <w:bCs/>
          <w:color w:val="auto"/>
          <w:kern w:val="2"/>
          <w:sz w:val="23"/>
          <w:szCs w:val="28"/>
        </w:rPr>
      </w:pPr>
    </w:p>
    <w:p w14:paraId="47671940">
      <w:pPr>
        <w:pStyle w:val="32"/>
        <w:spacing w:after="240" w:afterLines="100" w:line="300" w:lineRule="auto"/>
        <w:jc w:val="both"/>
        <w:outlineLvl w:val="0"/>
        <w:rPr>
          <w:rFonts w:ascii="Times New Roman"/>
          <w:b/>
          <w:bCs/>
          <w:color w:val="auto"/>
          <w:kern w:val="2"/>
          <w:sz w:val="23"/>
          <w:szCs w:val="28"/>
        </w:rPr>
      </w:pPr>
      <w:bookmarkStart w:id="76" w:name="_Toc500495501"/>
      <w:bookmarkStart w:id="77" w:name="_Toc58924287"/>
      <w:bookmarkStart w:id="78" w:name="_Toc240895617"/>
      <w:r>
        <w:rPr>
          <w:rFonts w:ascii="Times New Roman"/>
          <w:b/>
          <w:bCs/>
          <w:color w:val="auto"/>
          <w:kern w:val="2"/>
          <w:sz w:val="23"/>
          <w:szCs w:val="28"/>
        </w:rPr>
        <w:t>附件2    第三方协议清单</w:t>
      </w:r>
      <w:bookmarkEnd w:id="70"/>
      <w:bookmarkEnd w:id="71"/>
      <w:bookmarkEnd w:id="72"/>
      <w:bookmarkEnd w:id="73"/>
      <w:bookmarkEnd w:id="74"/>
      <w:bookmarkEnd w:id="75"/>
      <w:bookmarkEnd w:id="76"/>
      <w:bookmarkEnd w:id="77"/>
      <w:bookmarkEnd w:id="78"/>
    </w:p>
    <w:p w14:paraId="40AFA3C9">
      <w:pPr>
        <w:pStyle w:val="70"/>
        <w:spacing w:after="240" w:afterLines="100" w:line="300" w:lineRule="auto"/>
        <w:jc w:val="center"/>
        <w:rPr>
          <w:rFonts w:ascii="Times New Roman"/>
          <w:b/>
          <w:bCs/>
          <w:kern w:val="2"/>
          <w:sz w:val="23"/>
        </w:rPr>
      </w:pPr>
      <w:r>
        <w:rPr>
          <w:rFonts w:hint="eastAsia" w:ascii="Times New Roman"/>
          <w:b/>
          <w:bCs/>
          <w:kern w:val="2"/>
          <w:sz w:val="23"/>
        </w:rPr>
        <w:t>第三方协议清单</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701"/>
        <w:gridCol w:w="1701"/>
        <w:gridCol w:w="1134"/>
        <w:gridCol w:w="1134"/>
        <w:gridCol w:w="1134"/>
      </w:tblGrid>
      <w:tr w14:paraId="642B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1951" w:type="dxa"/>
            <w:vAlign w:val="center"/>
          </w:tcPr>
          <w:p w14:paraId="0DFC93E3">
            <w:pPr>
              <w:widowControl/>
              <w:jc w:val="center"/>
              <w:rPr>
                <w:rFonts w:ascii="宋体" w:hAnsi="宋体"/>
              </w:rPr>
            </w:pPr>
            <w:r>
              <w:rPr>
                <w:rFonts w:hint="eastAsia" w:ascii="宋体" w:hAnsi="宋体"/>
              </w:rPr>
              <w:t>协议名称</w:t>
            </w:r>
          </w:p>
        </w:tc>
        <w:tc>
          <w:tcPr>
            <w:tcW w:w="1701" w:type="dxa"/>
            <w:vAlign w:val="center"/>
          </w:tcPr>
          <w:p w14:paraId="7BB85382">
            <w:pPr>
              <w:jc w:val="center"/>
              <w:rPr>
                <w:rFonts w:ascii="宋体" w:hAnsi="宋体"/>
              </w:rPr>
            </w:pPr>
            <w:r>
              <w:rPr>
                <w:rFonts w:hint="eastAsia" w:ascii="宋体" w:hAnsi="宋体"/>
              </w:rPr>
              <w:t>签署主体</w:t>
            </w:r>
          </w:p>
        </w:tc>
        <w:tc>
          <w:tcPr>
            <w:tcW w:w="1701" w:type="dxa"/>
            <w:vAlign w:val="center"/>
          </w:tcPr>
          <w:p w14:paraId="709F009A">
            <w:pPr>
              <w:jc w:val="center"/>
              <w:rPr>
                <w:rFonts w:ascii="宋体" w:hAnsi="宋体"/>
              </w:rPr>
            </w:pPr>
            <w:r>
              <w:rPr>
                <w:rFonts w:hint="eastAsia" w:ascii="宋体" w:hAnsi="宋体"/>
              </w:rPr>
              <w:t>服务内容</w:t>
            </w:r>
          </w:p>
        </w:tc>
        <w:tc>
          <w:tcPr>
            <w:tcW w:w="1134" w:type="dxa"/>
            <w:tcBorders>
              <w:bottom w:val="single" w:color="auto" w:sz="4" w:space="0"/>
            </w:tcBorders>
            <w:vAlign w:val="center"/>
          </w:tcPr>
          <w:p w14:paraId="688CFC7B">
            <w:pPr>
              <w:jc w:val="center"/>
              <w:rPr>
                <w:rFonts w:ascii="宋体" w:hAnsi="宋体"/>
              </w:rPr>
            </w:pPr>
            <w:r>
              <w:rPr>
                <w:rFonts w:hint="eastAsia" w:ascii="宋体" w:hAnsi="宋体"/>
              </w:rPr>
              <w:t>金额</w:t>
            </w:r>
          </w:p>
        </w:tc>
        <w:tc>
          <w:tcPr>
            <w:tcW w:w="1134" w:type="dxa"/>
            <w:tcBorders>
              <w:bottom w:val="single" w:color="auto" w:sz="4" w:space="0"/>
            </w:tcBorders>
            <w:vAlign w:val="center"/>
          </w:tcPr>
          <w:p w14:paraId="608B1BEC">
            <w:pPr>
              <w:jc w:val="center"/>
              <w:rPr>
                <w:rFonts w:ascii="宋体" w:hAnsi="宋体"/>
              </w:rPr>
            </w:pPr>
            <w:r>
              <w:rPr>
                <w:rFonts w:hint="eastAsia" w:ascii="宋体" w:hAnsi="宋体"/>
              </w:rPr>
              <w:t>合同期限</w:t>
            </w:r>
          </w:p>
        </w:tc>
        <w:tc>
          <w:tcPr>
            <w:tcW w:w="1134" w:type="dxa"/>
            <w:vAlign w:val="center"/>
          </w:tcPr>
          <w:p w14:paraId="68A9CEFB">
            <w:pPr>
              <w:jc w:val="center"/>
              <w:rPr>
                <w:rFonts w:ascii="宋体" w:hAnsi="宋体"/>
              </w:rPr>
            </w:pPr>
            <w:r>
              <w:rPr>
                <w:rFonts w:hint="eastAsia" w:ascii="宋体" w:hAnsi="宋体"/>
              </w:rPr>
              <w:t>备注</w:t>
            </w:r>
          </w:p>
        </w:tc>
      </w:tr>
      <w:tr w14:paraId="43AC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1" w:type="dxa"/>
            <w:vAlign w:val="center"/>
          </w:tcPr>
          <w:p w14:paraId="43F65146">
            <w:pPr>
              <w:rPr>
                <w:rFonts w:ascii="宋体" w:hAnsi="宋体"/>
                <w:sz w:val="18"/>
                <w:szCs w:val="18"/>
              </w:rPr>
            </w:pPr>
            <w:r>
              <w:rPr>
                <w:rFonts w:hint="eastAsia" w:ascii="宋体" w:hAnsi="宋体"/>
                <w:sz w:val="18"/>
                <w:szCs w:val="18"/>
              </w:rPr>
              <w:t xml:space="preserve">    </w:t>
            </w:r>
          </w:p>
        </w:tc>
        <w:tc>
          <w:tcPr>
            <w:tcW w:w="1701" w:type="dxa"/>
            <w:vAlign w:val="center"/>
          </w:tcPr>
          <w:p w14:paraId="0818322C">
            <w:pPr>
              <w:rPr>
                <w:rFonts w:ascii="宋体" w:hAnsi="宋体"/>
                <w:sz w:val="18"/>
                <w:szCs w:val="18"/>
              </w:rPr>
            </w:pPr>
            <w:r>
              <w:rPr>
                <w:rFonts w:hint="eastAsia" w:ascii="宋体" w:hAnsi="宋体"/>
                <w:sz w:val="18"/>
                <w:szCs w:val="18"/>
              </w:rPr>
              <w:t xml:space="preserve">    </w:t>
            </w:r>
          </w:p>
        </w:tc>
        <w:tc>
          <w:tcPr>
            <w:tcW w:w="1701" w:type="dxa"/>
            <w:vAlign w:val="center"/>
          </w:tcPr>
          <w:p w14:paraId="6325814E">
            <w:pPr>
              <w:rPr>
                <w:rFonts w:ascii="宋体" w:hAnsi="宋体"/>
                <w:sz w:val="18"/>
                <w:szCs w:val="18"/>
              </w:rPr>
            </w:pPr>
          </w:p>
        </w:tc>
        <w:tc>
          <w:tcPr>
            <w:tcW w:w="1134" w:type="dxa"/>
            <w:vAlign w:val="center"/>
          </w:tcPr>
          <w:p w14:paraId="2FA1769B">
            <w:pPr>
              <w:rPr>
                <w:rFonts w:ascii="宋体" w:hAnsi="宋体"/>
                <w:sz w:val="18"/>
                <w:szCs w:val="18"/>
              </w:rPr>
            </w:pPr>
          </w:p>
        </w:tc>
        <w:tc>
          <w:tcPr>
            <w:tcW w:w="1134" w:type="dxa"/>
            <w:vAlign w:val="center"/>
          </w:tcPr>
          <w:p w14:paraId="41A88B65">
            <w:pPr>
              <w:spacing w:after="50" w:line="360" w:lineRule="exact"/>
              <w:rPr>
                <w:rFonts w:ascii="宋体" w:hAnsi="宋体"/>
                <w:sz w:val="18"/>
                <w:szCs w:val="18"/>
              </w:rPr>
            </w:pPr>
          </w:p>
        </w:tc>
        <w:tc>
          <w:tcPr>
            <w:tcW w:w="1134" w:type="dxa"/>
          </w:tcPr>
          <w:p w14:paraId="50A902CC">
            <w:pPr>
              <w:spacing w:after="50" w:line="360" w:lineRule="exact"/>
              <w:rPr>
                <w:rFonts w:ascii="宋体" w:hAnsi="宋体"/>
                <w:sz w:val="18"/>
                <w:szCs w:val="18"/>
              </w:rPr>
            </w:pPr>
          </w:p>
        </w:tc>
      </w:tr>
      <w:tr w14:paraId="6838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1" w:type="dxa"/>
          </w:tcPr>
          <w:p w14:paraId="21025CD8">
            <w:pPr>
              <w:rPr>
                <w:rFonts w:ascii="宋体" w:hAnsi="宋体"/>
                <w:sz w:val="18"/>
                <w:szCs w:val="18"/>
              </w:rPr>
            </w:pPr>
            <w:r>
              <w:rPr>
                <w:rFonts w:hint="eastAsia" w:ascii="宋体" w:hAnsi="宋体"/>
                <w:sz w:val="18"/>
                <w:szCs w:val="18"/>
              </w:rPr>
              <w:t xml:space="preserve">    </w:t>
            </w:r>
          </w:p>
        </w:tc>
        <w:tc>
          <w:tcPr>
            <w:tcW w:w="1701" w:type="dxa"/>
            <w:vAlign w:val="center"/>
          </w:tcPr>
          <w:p w14:paraId="2DB9518B">
            <w:pPr>
              <w:rPr>
                <w:rFonts w:ascii="宋体" w:hAnsi="宋体"/>
                <w:sz w:val="18"/>
                <w:szCs w:val="18"/>
              </w:rPr>
            </w:pPr>
            <w:r>
              <w:rPr>
                <w:rFonts w:hint="eastAsia" w:ascii="宋体" w:hAnsi="宋体" w:cs="宋体"/>
                <w:kern w:val="0"/>
                <w:sz w:val="18"/>
                <w:szCs w:val="18"/>
              </w:rPr>
              <w:t xml:space="preserve">    </w:t>
            </w:r>
          </w:p>
        </w:tc>
        <w:tc>
          <w:tcPr>
            <w:tcW w:w="1701" w:type="dxa"/>
            <w:vAlign w:val="center"/>
          </w:tcPr>
          <w:p w14:paraId="0590D745">
            <w:pPr>
              <w:rPr>
                <w:rFonts w:ascii="宋体" w:hAnsi="宋体"/>
                <w:sz w:val="18"/>
                <w:szCs w:val="18"/>
              </w:rPr>
            </w:pPr>
          </w:p>
        </w:tc>
        <w:tc>
          <w:tcPr>
            <w:tcW w:w="1134" w:type="dxa"/>
            <w:vAlign w:val="center"/>
          </w:tcPr>
          <w:p w14:paraId="44DAC6D0">
            <w:pPr>
              <w:rPr>
                <w:rFonts w:ascii="宋体" w:hAnsi="宋体"/>
                <w:sz w:val="18"/>
                <w:szCs w:val="18"/>
              </w:rPr>
            </w:pPr>
          </w:p>
        </w:tc>
        <w:tc>
          <w:tcPr>
            <w:tcW w:w="1134" w:type="dxa"/>
            <w:vAlign w:val="center"/>
          </w:tcPr>
          <w:p w14:paraId="5630C101">
            <w:pPr>
              <w:spacing w:after="50" w:line="360" w:lineRule="exact"/>
              <w:rPr>
                <w:rFonts w:ascii="宋体" w:hAnsi="宋体"/>
                <w:sz w:val="18"/>
                <w:szCs w:val="18"/>
              </w:rPr>
            </w:pPr>
          </w:p>
        </w:tc>
        <w:tc>
          <w:tcPr>
            <w:tcW w:w="1134" w:type="dxa"/>
          </w:tcPr>
          <w:p w14:paraId="68FF3EC1">
            <w:pPr>
              <w:spacing w:after="50" w:line="360" w:lineRule="exact"/>
              <w:rPr>
                <w:rFonts w:ascii="宋体" w:hAnsi="宋体"/>
                <w:sz w:val="18"/>
                <w:szCs w:val="18"/>
              </w:rPr>
            </w:pPr>
          </w:p>
        </w:tc>
      </w:tr>
      <w:tr w14:paraId="2554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1" w:type="dxa"/>
          </w:tcPr>
          <w:p w14:paraId="3A9A93C2">
            <w:pPr>
              <w:rPr>
                <w:rFonts w:ascii="宋体" w:hAnsi="宋体"/>
                <w:sz w:val="18"/>
                <w:szCs w:val="18"/>
              </w:rPr>
            </w:pPr>
            <w:r>
              <w:rPr>
                <w:rFonts w:hint="eastAsia" w:ascii="宋体" w:hAnsi="宋体"/>
                <w:sz w:val="18"/>
                <w:szCs w:val="18"/>
              </w:rPr>
              <w:t xml:space="preserve">    </w:t>
            </w:r>
          </w:p>
        </w:tc>
        <w:tc>
          <w:tcPr>
            <w:tcW w:w="1701" w:type="dxa"/>
            <w:vAlign w:val="center"/>
          </w:tcPr>
          <w:p w14:paraId="1ADAA1E7">
            <w:pPr>
              <w:rPr>
                <w:rFonts w:ascii="宋体" w:hAnsi="宋体"/>
                <w:sz w:val="18"/>
                <w:szCs w:val="18"/>
              </w:rPr>
            </w:pPr>
            <w:r>
              <w:rPr>
                <w:rFonts w:hint="eastAsia" w:ascii="宋体" w:hAnsi="宋体" w:cs="宋体"/>
                <w:kern w:val="0"/>
                <w:sz w:val="18"/>
                <w:szCs w:val="18"/>
              </w:rPr>
              <w:t xml:space="preserve">    </w:t>
            </w:r>
          </w:p>
        </w:tc>
        <w:tc>
          <w:tcPr>
            <w:tcW w:w="1701" w:type="dxa"/>
            <w:vAlign w:val="center"/>
          </w:tcPr>
          <w:p w14:paraId="36D24CDC">
            <w:pPr>
              <w:rPr>
                <w:rFonts w:ascii="宋体" w:hAnsi="宋体"/>
                <w:sz w:val="18"/>
                <w:szCs w:val="18"/>
              </w:rPr>
            </w:pPr>
          </w:p>
        </w:tc>
        <w:tc>
          <w:tcPr>
            <w:tcW w:w="1134" w:type="dxa"/>
            <w:vAlign w:val="center"/>
          </w:tcPr>
          <w:p w14:paraId="404C0FD4">
            <w:pPr>
              <w:rPr>
                <w:rFonts w:ascii="宋体" w:hAnsi="宋体"/>
                <w:sz w:val="18"/>
                <w:szCs w:val="18"/>
              </w:rPr>
            </w:pPr>
          </w:p>
        </w:tc>
        <w:tc>
          <w:tcPr>
            <w:tcW w:w="1134" w:type="dxa"/>
            <w:vAlign w:val="center"/>
          </w:tcPr>
          <w:p w14:paraId="262F6B97">
            <w:pPr>
              <w:spacing w:after="50" w:line="360" w:lineRule="exact"/>
              <w:rPr>
                <w:rFonts w:ascii="宋体" w:hAnsi="宋体"/>
                <w:sz w:val="18"/>
                <w:szCs w:val="18"/>
              </w:rPr>
            </w:pPr>
          </w:p>
        </w:tc>
        <w:tc>
          <w:tcPr>
            <w:tcW w:w="1134" w:type="dxa"/>
          </w:tcPr>
          <w:p w14:paraId="11B3AA83">
            <w:pPr>
              <w:spacing w:after="50" w:line="360" w:lineRule="exact"/>
              <w:rPr>
                <w:rFonts w:ascii="宋体" w:hAnsi="宋体"/>
                <w:sz w:val="18"/>
                <w:szCs w:val="18"/>
              </w:rPr>
            </w:pPr>
          </w:p>
        </w:tc>
      </w:tr>
      <w:tr w14:paraId="4DE5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1" w:type="dxa"/>
          </w:tcPr>
          <w:p w14:paraId="02878097">
            <w:pPr>
              <w:rPr>
                <w:rFonts w:ascii="宋体" w:hAnsi="宋体"/>
                <w:sz w:val="18"/>
                <w:szCs w:val="18"/>
              </w:rPr>
            </w:pPr>
            <w:r>
              <w:rPr>
                <w:rFonts w:hint="eastAsia" w:ascii="宋体" w:hAnsi="宋体"/>
                <w:sz w:val="18"/>
                <w:szCs w:val="18"/>
              </w:rPr>
              <w:t xml:space="preserve">    </w:t>
            </w:r>
          </w:p>
        </w:tc>
        <w:tc>
          <w:tcPr>
            <w:tcW w:w="1701" w:type="dxa"/>
            <w:vAlign w:val="center"/>
          </w:tcPr>
          <w:p w14:paraId="618A537A">
            <w:pPr>
              <w:rPr>
                <w:rFonts w:ascii="宋体" w:hAnsi="宋体"/>
                <w:sz w:val="18"/>
                <w:szCs w:val="18"/>
              </w:rPr>
            </w:pPr>
          </w:p>
        </w:tc>
        <w:tc>
          <w:tcPr>
            <w:tcW w:w="1701" w:type="dxa"/>
            <w:vAlign w:val="center"/>
          </w:tcPr>
          <w:p w14:paraId="42C9FBD5">
            <w:pPr>
              <w:rPr>
                <w:rFonts w:ascii="宋体" w:hAnsi="宋体"/>
                <w:sz w:val="18"/>
                <w:szCs w:val="18"/>
              </w:rPr>
            </w:pPr>
          </w:p>
        </w:tc>
        <w:tc>
          <w:tcPr>
            <w:tcW w:w="1134" w:type="dxa"/>
            <w:vAlign w:val="center"/>
          </w:tcPr>
          <w:p w14:paraId="68186545">
            <w:pPr>
              <w:rPr>
                <w:rFonts w:ascii="宋体" w:hAnsi="宋体"/>
                <w:sz w:val="18"/>
                <w:szCs w:val="18"/>
              </w:rPr>
            </w:pPr>
          </w:p>
        </w:tc>
        <w:tc>
          <w:tcPr>
            <w:tcW w:w="1134" w:type="dxa"/>
            <w:vAlign w:val="center"/>
          </w:tcPr>
          <w:p w14:paraId="4ED00047">
            <w:pPr>
              <w:spacing w:after="50" w:line="360" w:lineRule="exact"/>
              <w:rPr>
                <w:rFonts w:ascii="宋体" w:hAnsi="宋体"/>
                <w:sz w:val="18"/>
                <w:szCs w:val="18"/>
              </w:rPr>
            </w:pPr>
          </w:p>
        </w:tc>
        <w:tc>
          <w:tcPr>
            <w:tcW w:w="1134" w:type="dxa"/>
          </w:tcPr>
          <w:p w14:paraId="5525DE7D">
            <w:pPr>
              <w:spacing w:after="50" w:line="360" w:lineRule="exact"/>
              <w:rPr>
                <w:rFonts w:ascii="宋体" w:hAnsi="宋体"/>
                <w:sz w:val="18"/>
                <w:szCs w:val="18"/>
              </w:rPr>
            </w:pPr>
          </w:p>
        </w:tc>
      </w:tr>
      <w:tr w14:paraId="6FD0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51" w:type="dxa"/>
          </w:tcPr>
          <w:p w14:paraId="66B16C75">
            <w:pPr>
              <w:rPr>
                <w:rFonts w:ascii="宋体" w:hAnsi="宋体"/>
                <w:sz w:val="18"/>
                <w:szCs w:val="18"/>
              </w:rPr>
            </w:pPr>
            <w:r>
              <w:rPr>
                <w:rFonts w:hint="eastAsia" w:ascii="宋体" w:hAnsi="宋体"/>
                <w:sz w:val="18"/>
                <w:szCs w:val="18"/>
              </w:rPr>
              <w:t xml:space="preserve">    </w:t>
            </w:r>
          </w:p>
        </w:tc>
        <w:tc>
          <w:tcPr>
            <w:tcW w:w="1701" w:type="dxa"/>
            <w:vAlign w:val="center"/>
          </w:tcPr>
          <w:p w14:paraId="3679D78A">
            <w:pPr>
              <w:rPr>
                <w:rFonts w:ascii="宋体" w:hAnsi="宋体"/>
                <w:sz w:val="18"/>
                <w:szCs w:val="18"/>
              </w:rPr>
            </w:pPr>
          </w:p>
        </w:tc>
        <w:tc>
          <w:tcPr>
            <w:tcW w:w="1701" w:type="dxa"/>
            <w:vAlign w:val="center"/>
          </w:tcPr>
          <w:p w14:paraId="0FC2E411">
            <w:pPr>
              <w:rPr>
                <w:rFonts w:ascii="宋体" w:hAnsi="宋体"/>
                <w:sz w:val="18"/>
                <w:szCs w:val="18"/>
              </w:rPr>
            </w:pPr>
          </w:p>
        </w:tc>
        <w:tc>
          <w:tcPr>
            <w:tcW w:w="1134" w:type="dxa"/>
            <w:vAlign w:val="center"/>
          </w:tcPr>
          <w:p w14:paraId="651BA81B">
            <w:pPr>
              <w:rPr>
                <w:rFonts w:ascii="宋体" w:hAnsi="宋体"/>
                <w:sz w:val="18"/>
                <w:szCs w:val="18"/>
              </w:rPr>
            </w:pPr>
          </w:p>
        </w:tc>
        <w:tc>
          <w:tcPr>
            <w:tcW w:w="1134" w:type="dxa"/>
            <w:vAlign w:val="center"/>
          </w:tcPr>
          <w:p w14:paraId="3B0FAFAA">
            <w:pPr>
              <w:spacing w:after="50" w:line="360" w:lineRule="exact"/>
              <w:rPr>
                <w:rFonts w:ascii="宋体" w:hAnsi="宋体"/>
                <w:sz w:val="18"/>
                <w:szCs w:val="18"/>
              </w:rPr>
            </w:pPr>
          </w:p>
        </w:tc>
        <w:tc>
          <w:tcPr>
            <w:tcW w:w="1134" w:type="dxa"/>
          </w:tcPr>
          <w:p w14:paraId="7906207E">
            <w:pPr>
              <w:spacing w:after="50" w:line="360" w:lineRule="exact"/>
              <w:rPr>
                <w:rFonts w:ascii="宋体" w:hAnsi="宋体"/>
                <w:sz w:val="18"/>
                <w:szCs w:val="18"/>
              </w:rPr>
            </w:pPr>
          </w:p>
        </w:tc>
      </w:tr>
    </w:tbl>
    <w:p w14:paraId="015544E6">
      <w:pPr>
        <w:spacing w:after="240" w:afterLines="100" w:line="300" w:lineRule="auto"/>
        <w:rPr>
          <w:sz w:val="23"/>
        </w:rPr>
      </w:pPr>
    </w:p>
    <w:p w14:paraId="4B5CCC89">
      <w:pPr>
        <w:spacing w:after="240" w:afterLines="100" w:line="300" w:lineRule="auto"/>
        <w:rPr>
          <w:sz w:val="23"/>
        </w:rPr>
      </w:pPr>
    </w:p>
    <w:p w14:paraId="225FA5B4">
      <w:pPr>
        <w:spacing w:after="240" w:afterLines="100" w:line="300" w:lineRule="auto"/>
        <w:rPr>
          <w:b/>
          <w:sz w:val="23"/>
        </w:rPr>
      </w:pPr>
      <w:r>
        <w:rPr>
          <w:rFonts w:hint="eastAsia"/>
          <w:b/>
          <w:sz w:val="23"/>
        </w:rPr>
        <w:t>甲方</w:t>
      </w:r>
      <w:r>
        <w:rPr>
          <w:b/>
          <w:sz w:val="23"/>
        </w:rPr>
        <w:t>：</w:t>
      </w:r>
      <w:r>
        <w:rPr>
          <w:b/>
          <w:bCs/>
          <w:sz w:val="23"/>
        </w:rPr>
        <w:t>中国东方资产管理股份有限公司</w:t>
      </w:r>
      <w:r>
        <w:rPr>
          <w:rFonts w:hint="eastAsia"/>
          <w:b/>
          <w:sz w:val="23"/>
        </w:rPr>
        <w:t>山东省</w:t>
      </w:r>
      <w:r>
        <w:rPr>
          <w:b/>
          <w:sz w:val="23"/>
        </w:rPr>
        <w:t>分公司（盖章）</w:t>
      </w:r>
    </w:p>
    <w:p w14:paraId="6A718F9A">
      <w:pPr>
        <w:spacing w:after="240" w:afterLines="100" w:line="300" w:lineRule="auto"/>
        <w:rPr>
          <w:b/>
          <w:sz w:val="23"/>
        </w:rPr>
      </w:pPr>
      <w:r>
        <w:rPr>
          <w:b/>
          <w:sz w:val="23"/>
        </w:rPr>
        <w:t xml:space="preserve">负责人：   </w:t>
      </w:r>
      <w:r>
        <w:rPr>
          <w:b/>
          <w:sz w:val="23"/>
          <w:u w:val="single"/>
        </w:rPr>
        <w:t xml:space="preserve">                                        </w:t>
      </w:r>
      <w:r>
        <w:rPr>
          <w:b/>
          <w:sz w:val="23"/>
        </w:rPr>
        <w:t>（签名</w:t>
      </w:r>
      <w:bookmarkStart w:id="79" w:name="OLE_LINK30"/>
      <w:bookmarkStart w:id="80" w:name="OLE_LINK31"/>
      <w:r>
        <w:rPr>
          <w:b/>
          <w:sz w:val="23"/>
        </w:rPr>
        <w:t>或盖章</w:t>
      </w:r>
      <w:bookmarkEnd w:id="79"/>
      <w:bookmarkEnd w:id="80"/>
      <w:r>
        <w:rPr>
          <w:b/>
          <w:sz w:val="23"/>
        </w:rPr>
        <w:t>）</w:t>
      </w:r>
    </w:p>
    <w:p w14:paraId="1E4510E0">
      <w:pPr>
        <w:spacing w:after="240" w:afterLines="100" w:line="300" w:lineRule="auto"/>
        <w:rPr>
          <w:sz w:val="23"/>
        </w:rPr>
      </w:pPr>
    </w:p>
    <w:p w14:paraId="3D0AA386">
      <w:pPr>
        <w:spacing w:after="240" w:afterLines="100" w:line="300" w:lineRule="auto"/>
        <w:rPr>
          <w:sz w:val="23"/>
        </w:rPr>
      </w:pPr>
    </w:p>
    <w:p w14:paraId="023C5607">
      <w:pPr>
        <w:spacing w:after="240" w:afterLines="100" w:line="300" w:lineRule="auto"/>
        <w:rPr>
          <w:b/>
          <w:sz w:val="23"/>
        </w:rPr>
      </w:pPr>
      <w:r>
        <w:rPr>
          <w:rFonts w:hint="eastAsia"/>
          <w:b/>
          <w:sz w:val="23"/>
        </w:rPr>
        <w:t>乙</w:t>
      </w:r>
      <w:r>
        <w:rPr>
          <w:b/>
          <w:sz w:val="23"/>
        </w:rPr>
        <w:t>方：【】（盖章）</w:t>
      </w:r>
      <w:r>
        <w:rPr>
          <w:rFonts w:hint="eastAsia"/>
          <w:b/>
          <w:sz w:val="23"/>
        </w:rPr>
        <w:t>（自然人签名）</w:t>
      </w:r>
    </w:p>
    <w:p w14:paraId="0F8C858B">
      <w:pPr>
        <w:spacing w:after="240" w:afterLines="100" w:line="300" w:lineRule="auto"/>
        <w:rPr>
          <w:sz w:val="23"/>
        </w:rPr>
      </w:pPr>
      <w:r>
        <w:rPr>
          <w:b/>
          <w:sz w:val="23"/>
        </w:rPr>
        <w:t>法定代表人（负责人） / 授权代表：</w:t>
      </w:r>
      <w:r>
        <w:rPr>
          <w:sz w:val="23"/>
          <w:u w:val="single"/>
        </w:rPr>
        <w:t xml:space="preserve">                                          </w:t>
      </w:r>
      <w:r>
        <w:rPr>
          <w:sz w:val="23"/>
        </w:rPr>
        <w:t>（签名</w:t>
      </w:r>
      <w:r>
        <w:rPr>
          <w:rFonts w:hint="eastAsia"/>
          <w:sz w:val="23"/>
        </w:rPr>
        <w:t>或盖章</w:t>
      </w:r>
      <w:r>
        <w:rPr>
          <w:sz w:val="23"/>
        </w:rPr>
        <w:t>）</w:t>
      </w:r>
    </w:p>
    <w:p w14:paraId="09180544">
      <w:pPr>
        <w:spacing w:after="240" w:afterLines="100" w:line="300" w:lineRule="auto"/>
        <w:rPr>
          <w:sz w:val="23"/>
        </w:rPr>
      </w:pPr>
    </w:p>
    <w:p w14:paraId="2B593805">
      <w:pPr>
        <w:spacing w:after="240" w:afterLines="100" w:line="300" w:lineRule="auto"/>
        <w:rPr>
          <w:sz w:val="23"/>
        </w:rPr>
      </w:pPr>
    </w:p>
    <w:p w14:paraId="19D3283B">
      <w:pPr>
        <w:spacing w:after="240" w:afterLines="100" w:line="300" w:lineRule="auto"/>
        <w:rPr>
          <w:sz w:val="23"/>
        </w:rPr>
      </w:pPr>
    </w:p>
    <w:p w14:paraId="0B8A5D97">
      <w:pPr>
        <w:spacing w:after="240" w:afterLines="100" w:line="300" w:lineRule="auto"/>
        <w:rPr>
          <w:sz w:val="23"/>
        </w:rPr>
      </w:pPr>
    </w:p>
    <w:p w14:paraId="3AF3373B">
      <w:pPr>
        <w:spacing w:after="240" w:afterLines="100" w:line="300" w:lineRule="auto"/>
        <w:rPr>
          <w:sz w:val="23"/>
        </w:rPr>
        <w:sectPr>
          <w:pgSz w:w="11907" w:h="16839"/>
          <w:pgMar w:top="1440" w:right="1800" w:bottom="820" w:left="1800" w:header="720" w:footer="720" w:gutter="0"/>
          <w:cols w:space="720" w:num="1"/>
        </w:sectPr>
      </w:pPr>
    </w:p>
    <w:p w14:paraId="514DCFE3">
      <w:pPr>
        <w:pStyle w:val="32"/>
        <w:spacing w:after="240" w:afterLines="100" w:line="300" w:lineRule="auto"/>
        <w:jc w:val="both"/>
        <w:outlineLvl w:val="0"/>
        <w:rPr>
          <w:rFonts w:ascii="Times New Roman"/>
          <w:b/>
          <w:bCs/>
          <w:color w:val="auto"/>
          <w:kern w:val="2"/>
          <w:sz w:val="23"/>
          <w:szCs w:val="28"/>
        </w:rPr>
      </w:pPr>
      <w:bookmarkStart w:id="81" w:name="_Toc495597296"/>
      <w:bookmarkStart w:id="82" w:name="_Toc58924288"/>
      <w:bookmarkStart w:id="83" w:name="_Toc240895618"/>
      <w:bookmarkStart w:id="84" w:name="_Toc500147362"/>
      <w:bookmarkStart w:id="85" w:name="_Toc495656895"/>
      <w:bookmarkStart w:id="86" w:name="_Toc500495502"/>
      <w:bookmarkStart w:id="87" w:name="_Toc492025751"/>
      <w:bookmarkStart w:id="88" w:name="_Toc479296826"/>
      <w:r>
        <w:rPr>
          <w:rFonts w:ascii="Times New Roman"/>
          <w:b/>
          <w:bCs/>
          <w:color w:val="auto"/>
          <w:kern w:val="2"/>
          <w:sz w:val="23"/>
          <w:szCs w:val="28"/>
        </w:rPr>
        <w:t>附件3    关于资产转让的确认函</w:t>
      </w:r>
      <w:bookmarkEnd w:id="81"/>
      <w:bookmarkEnd w:id="82"/>
      <w:bookmarkEnd w:id="83"/>
      <w:bookmarkEnd w:id="84"/>
      <w:bookmarkEnd w:id="85"/>
      <w:bookmarkEnd w:id="86"/>
      <w:bookmarkEnd w:id="87"/>
      <w:bookmarkEnd w:id="88"/>
    </w:p>
    <w:p w14:paraId="48883020">
      <w:pPr>
        <w:pStyle w:val="32"/>
        <w:spacing w:after="240" w:afterLines="100" w:line="300" w:lineRule="auto"/>
        <w:jc w:val="center"/>
        <w:rPr>
          <w:rFonts w:ascii="Times New Roman"/>
          <w:b/>
          <w:color w:val="auto"/>
          <w:kern w:val="2"/>
          <w:sz w:val="23"/>
        </w:rPr>
      </w:pPr>
      <w:r>
        <w:rPr>
          <w:rFonts w:ascii="Times New Roman"/>
          <w:b/>
          <w:color w:val="auto"/>
          <w:kern w:val="2"/>
          <w:sz w:val="23"/>
        </w:rPr>
        <w:t>关于资产转让的确认函</w:t>
      </w:r>
    </w:p>
    <w:p w14:paraId="05C88DA2">
      <w:pPr>
        <w:pStyle w:val="32"/>
        <w:spacing w:after="240" w:afterLines="100" w:line="300" w:lineRule="auto"/>
        <w:jc w:val="both"/>
        <w:rPr>
          <w:rFonts w:ascii="Times New Roman"/>
          <w:b/>
          <w:color w:val="auto"/>
          <w:kern w:val="2"/>
          <w:sz w:val="23"/>
        </w:rPr>
      </w:pPr>
    </w:p>
    <w:p w14:paraId="25257E10">
      <w:pPr>
        <w:pStyle w:val="32"/>
        <w:spacing w:after="240" w:afterLines="100" w:line="300" w:lineRule="auto"/>
        <w:jc w:val="both"/>
        <w:rPr>
          <w:rFonts w:ascii="Times New Roman"/>
          <w:color w:val="auto"/>
          <w:kern w:val="2"/>
          <w:sz w:val="23"/>
        </w:rPr>
      </w:pPr>
      <w:r>
        <w:rPr>
          <w:rFonts w:ascii="Times New Roman"/>
          <w:color w:val="auto"/>
          <w:kern w:val="2"/>
          <w:sz w:val="23"/>
        </w:rPr>
        <w:t xml:space="preserve">确认函编号：_________________ </w:t>
      </w:r>
    </w:p>
    <w:p w14:paraId="6C1A9701">
      <w:pPr>
        <w:pStyle w:val="32"/>
        <w:spacing w:after="240" w:afterLines="100" w:line="300" w:lineRule="auto"/>
        <w:jc w:val="both"/>
        <w:rPr>
          <w:rFonts w:ascii="Times New Roman"/>
          <w:color w:val="auto"/>
          <w:kern w:val="2"/>
          <w:sz w:val="23"/>
        </w:rPr>
      </w:pPr>
      <w:r>
        <w:rPr>
          <w:rFonts w:ascii="Times New Roman"/>
          <w:color w:val="auto"/>
          <w:kern w:val="2"/>
          <w:sz w:val="23"/>
        </w:rPr>
        <w:t xml:space="preserve">资产编号：_________________ </w:t>
      </w:r>
    </w:p>
    <w:p w14:paraId="2500B111">
      <w:pPr>
        <w:pStyle w:val="32"/>
        <w:spacing w:after="240" w:afterLines="100" w:line="300" w:lineRule="auto"/>
        <w:jc w:val="both"/>
        <w:rPr>
          <w:rFonts w:ascii="Times New Roman"/>
          <w:color w:val="auto"/>
          <w:kern w:val="2"/>
          <w:sz w:val="23"/>
        </w:rPr>
      </w:pPr>
      <w:r>
        <w:rPr>
          <w:rFonts w:ascii="Times New Roman"/>
          <w:color w:val="auto"/>
          <w:kern w:val="2"/>
          <w:sz w:val="23"/>
        </w:rPr>
        <w:t>根据中国东方资产管理股份有限公司</w:t>
      </w:r>
      <w:r>
        <w:rPr>
          <w:rFonts w:hint="eastAsia" w:ascii="Times New Roman"/>
          <w:color w:val="auto"/>
          <w:kern w:val="2"/>
          <w:sz w:val="23"/>
        </w:rPr>
        <w:t>山东省</w:t>
      </w:r>
      <w:r>
        <w:rPr>
          <w:rFonts w:ascii="Times New Roman"/>
          <w:color w:val="auto"/>
          <w:kern w:val="2"/>
          <w:sz w:val="23"/>
        </w:rPr>
        <w:t>分公司与【乙方名称】（乙方）于【】年【】月【】日签订的</w:t>
      </w:r>
      <w:r>
        <w:rPr>
          <w:rFonts w:hint="eastAsia" w:ascii="Times New Roman"/>
          <w:color w:val="auto"/>
          <w:kern w:val="2"/>
          <w:sz w:val="23"/>
        </w:rPr>
        <w:t>编号为【】的</w:t>
      </w:r>
      <w:r>
        <w:rPr>
          <w:rFonts w:ascii="Times New Roman"/>
          <w:color w:val="auto"/>
          <w:kern w:val="2"/>
          <w:sz w:val="23"/>
        </w:rPr>
        <w:t>《资产转让协议》，转让方已经将《资产转让协议》附件1《标的资产清单》中所列的标的资产于【】年【】月【】日（即交割日）依法转让给乙方。转让方特此确认该等标的资产已向乙方转让的事实。</w:t>
      </w:r>
    </w:p>
    <w:p w14:paraId="34354E5C">
      <w:pPr>
        <w:pStyle w:val="32"/>
        <w:spacing w:after="240" w:afterLines="100" w:line="300" w:lineRule="auto"/>
        <w:jc w:val="both"/>
        <w:rPr>
          <w:rFonts w:ascii="Times New Roman"/>
          <w:color w:val="auto"/>
          <w:kern w:val="2"/>
          <w:sz w:val="23"/>
        </w:rPr>
      </w:pPr>
      <w:r>
        <w:rPr>
          <w:rFonts w:ascii="Times New Roman"/>
          <w:color w:val="auto"/>
          <w:kern w:val="2"/>
          <w:sz w:val="23"/>
        </w:rPr>
        <w:t>乙方确认：</w:t>
      </w:r>
    </w:p>
    <w:p w14:paraId="3E700EA5">
      <w:pPr>
        <w:pStyle w:val="32"/>
        <w:spacing w:after="240" w:afterLines="100" w:line="300" w:lineRule="auto"/>
        <w:jc w:val="both"/>
        <w:rPr>
          <w:rFonts w:ascii="Times New Roman"/>
          <w:color w:val="auto"/>
          <w:kern w:val="2"/>
          <w:sz w:val="23"/>
        </w:rPr>
      </w:pPr>
      <w:r>
        <w:rPr>
          <w:rFonts w:ascii="Times New Roman"/>
          <w:color w:val="auto"/>
          <w:kern w:val="2"/>
          <w:sz w:val="23"/>
        </w:rPr>
        <w:t>（1）乙方已自转让方收到</w:t>
      </w:r>
      <w:r>
        <w:rPr>
          <w:rFonts w:hint="eastAsia" w:ascii="Times New Roman"/>
          <w:color w:val="auto"/>
          <w:kern w:val="2"/>
          <w:sz w:val="23"/>
        </w:rPr>
        <w:t>全部资产文件，详见</w:t>
      </w:r>
      <w:r>
        <w:rPr>
          <w:rFonts w:ascii="Times New Roman"/>
          <w:color w:val="auto"/>
          <w:kern w:val="2"/>
          <w:sz w:val="23"/>
        </w:rPr>
        <w:t>本函附表A《资产文件清单》；</w:t>
      </w:r>
    </w:p>
    <w:p w14:paraId="05849AE3">
      <w:pPr>
        <w:pStyle w:val="32"/>
        <w:spacing w:after="240" w:afterLines="100" w:line="300" w:lineRule="auto"/>
        <w:jc w:val="both"/>
        <w:rPr>
          <w:rFonts w:ascii="Times New Roman"/>
          <w:color w:val="auto"/>
          <w:kern w:val="2"/>
          <w:sz w:val="23"/>
        </w:rPr>
      </w:pPr>
      <w:r>
        <w:rPr>
          <w:rFonts w:ascii="Times New Roman"/>
          <w:color w:val="auto"/>
          <w:kern w:val="2"/>
          <w:sz w:val="23"/>
        </w:rPr>
        <w:t>（</w:t>
      </w:r>
      <w:r>
        <w:rPr>
          <w:rFonts w:hint="eastAsia" w:ascii="Times New Roman"/>
          <w:color w:val="auto"/>
          <w:kern w:val="2"/>
          <w:sz w:val="23"/>
        </w:rPr>
        <w:t>2</w:t>
      </w:r>
      <w:r>
        <w:rPr>
          <w:rFonts w:ascii="Times New Roman"/>
          <w:color w:val="auto"/>
          <w:kern w:val="2"/>
          <w:sz w:val="23"/>
        </w:rPr>
        <w:t>）</w:t>
      </w:r>
      <w:r>
        <w:rPr>
          <w:rFonts w:ascii="Times New Roman"/>
          <w:color w:val="auto"/>
          <w:sz w:val="23"/>
          <w:szCs w:val="23"/>
        </w:rPr>
        <w:t>《资产转让协议》附件1《标的资产清单》中所列的标的资产已经于交割日交割完毕。</w:t>
      </w:r>
    </w:p>
    <w:p w14:paraId="4AFAB435">
      <w:pPr>
        <w:pStyle w:val="32"/>
        <w:spacing w:after="240" w:afterLines="100" w:line="300" w:lineRule="auto"/>
        <w:jc w:val="both"/>
        <w:rPr>
          <w:rFonts w:ascii="Times New Roman"/>
          <w:color w:val="auto"/>
          <w:kern w:val="2"/>
          <w:sz w:val="23"/>
        </w:rPr>
      </w:pPr>
      <w:r>
        <w:rPr>
          <w:rFonts w:ascii="Times New Roman"/>
          <w:color w:val="auto"/>
          <w:kern w:val="2"/>
          <w:sz w:val="23"/>
        </w:rPr>
        <w:t>除非本函中另有定义，本函中的词语具有与《资产转让协议》中相同的含义</w:t>
      </w:r>
      <w:r>
        <w:rPr>
          <w:rFonts w:hint="eastAsia" w:ascii="Times New Roman"/>
          <w:color w:val="auto"/>
          <w:kern w:val="2"/>
          <w:sz w:val="23"/>
        </w:rPr>
        <w:t>。</w:t>
      </w:r>
    </w:p>
    <w:p w14:paraId="39E35BB1">
      <w:pPr>
        <w:pStyle w:val="32"/>
        <w:spacing w:after="240" w:afterLines="100" w:line="300" w:lineRule="auto"/>
        <w:jc w:val="both"/>
        <w:rPr>
          <w:rFonts w:ascii="Times New Roman"/>
          <w:color w:val="auto"/>
          <w:kern w:val="2"/>
          <w:sz w:val="23"/>
        </w:rPr>
      </w:pPr>
    </w:p>
    <w:p w14:paraId="1C872767">
      <w:pPr>
        <w:pStyle w:val="32"/>
        <w:spacing w:after="240" w:afterLines="100" w:line="300" w:lineRule="auto"/>
        <w:jc w:val="both"/>
        <w:rPr>
          <w:rFonts w:ascii="Times New Roman"/>
          <w:color w:val="auto"/>
          <w:kern w:val="2"/>
          <w:sz w:val="23"/>
        </w:rPr>
      </w:pPr>
      <w:r>
        <w:rPr>
          <w:rFonts w:ascii="Times New Roman"/>
          <w:color w:val="auto"/>
          <w:kern w:val="2"/>
          <w:sz w:val="23"/>
        </w:rPr>
        <w:t>中国东方资产管理股份有限公司</w:t>
      </w:r>
      <w:r>
        <w:rPr>
          <w:rFonts w:hint="eastAsia" w:ascii="Times New Roman"/>
          <w:color w:val="auto"/>
          <w:kern w:val="2"/>
          <w:sz w:val="23"/>
        </w:rPr>
        <w:t>山东省</w:t>
      </w:r>
      <w:r>
        <w:rPr>
          <w:rFonts w:ascii="Times New Roman"/>
          <w:color w:val="auto"/>
          <w:kern w:val="2"/>
          <w:sz w:val="23"/>
        </w:rPr>
        <w:t>分公司（公章）</w:t>
      </w:r>
      <w:r>
        <w:rPr>
          <w:rFonts w:ascii="Times New Roman"/>
          <w:color w:val="auto"/>
          <w:kern w:val="2"/>
          <w:sz w:val="23"/>
        </w:rPr>
        <w:tab/>
      </w:r>
      <w:r>
        <w:rPr>
          <w:rFonts w:ascii="Times New Roman"/>
          <w:color w:val="auto"/>
          <w:kern w:val="2"/>
          <w:sz w:val="23"/>
        </w:rPr>
        <w:t xml:space="preserve">       </w:t>
      </w:r>
    </w:p>
    <w:p w14:paraId="6128011C">
      <w:pPr>
        <w:pStyle w:val="32"/>
        <w:spacing w:after="240" w:afterLines="100" w:line="300" w:lineRule="auto"/>
        <w:jc w:val="both"/>
        <w:rPr>
          <w:rFonts w:ascii="Times New Roman"/>
          <w:color w:val="auto"/>
          <w:kern w:val="2"/>
          <w:sz w:val="23"/>
        </w:rPr>
      </w:pPr>
      <w:r>
        <w:rPr>
          <w:rFonts w:hint="eastAsia" w:ascii="Times New Roman"/>
          <w:color w:val="auto"/>
          <w:kern w:val="2"/>
          <w:sz w:val="23"/>
        </w:rPr>
        <w:t>法定代表人（负责人）/授权代表（签名或盖章）：</w:t>
      </w:r>
      <w:r>
        <w:rPr>
          <w:rFonts w:ascii="Times New Roman"/>
          <w:color w:val="auto"/>
          <w:kern w:val="2"/>
          <w:sz w:val="23"/>
        </w:rPr>
        <w:t xml:space="preserve">___________________ </w:t>
      </w:r>
      <w:r>
        <w:rPr>
          <w:rFonts w:ascii="Times New Roman"/>
          <w:color w:val="auto"/>
          <w:kern w:val="2"/>
          <w:sz w:val="23"/>
        </w:rPr>
        <w:tab/>
      </w:r>
      <w:r>
        <w:rPr>
          <w:rFonts w:ascii="Times New Roman"/>
          <w:color w:val="auto"/>
          <w:kern w:val="2"/>
          <w:sz w:val="23"/>
        </w:rPr>
        <w:t xml:space="preserve">                                 </w:t>
      </w:r>
    </w:p>
    <w:p w14:paraId="3F21CFD1">
      <w:pPr>
        <w:pStyle w:val="32"/>
        <w:spacing w:after="240" w:afterLines="100" w:line="300" w:lineRule="auto"/>
        <w:ind w:firstLine="465"/>
        <w:jc w:val="both"/>
        <w:rPr>
          <w:rFonts w:ascii="Times New Roman"/>
          <w:color w:val="auto"/>
          <w:kern w:val="2"/>
          <w:sz w:val="23"/>
        </w:rPr>
      </w:pPr>
      <w:r>
        <w:rPr>
          <w:rFonts w:ascii="Times New Roman"/>
          <w:color w:val="auto"/>
          <w:kern w:val="2"/>
          <w:sz w:val="23"/>
        </w:rPr>
        <w:t>年　　 月　     日                                                 　</w:t>
      </w:r>
    </w:p>
    <w:p w14:paraId="713D8C5E">
      <w:pPr>
        <w:pStyle w:val="32"/>
        <w:spacing w:after="240" w:afterLines="100" w:line="300" w:lineRule="auto"/>
        <w:jc w:val="both"/>
        <w:rPr>
          <w:rFonts w:ascii="Times New Roman"/>
          <w:color w:val="auto"/>
          <w:kern w:val="2"/>
          <w:sz w:val="23"/>
        </w:rPr>
      </w:pPr>
    </w:p>
    <w:p w14:paraId="040DF076">
      <w:pPr>
        <w:pStyle w:val="32"/>
        <w:spacing w:after="240" w:afterLines="100" w:line="300" w:lineRule="auto"/>
        <w:jc w:val="both"/>
        <w:rPr>
          <w:rFonts w:ascii="Times New Roman"/>
          <w:color w:val="auto"/>
          <w:kern w:val="2"/>
          <w:sz w:val="23"/>
        </w:rPr>
      </w:pPr>
      <w:r>
        <w:rPr>
          <w:rFonts w:hint="eastAsia" w:ascii="Times New Roman"/>
          <w:color w:val="auto"/>
          <w:kern w:val="2"/>
          <w:sz w:val="23"/>
        </w:rPr>
        <w:t>【乙方</w:t>
      </w:r>
      <w:r>
        <w:rPr>
          <w:rFonts w:ascii="Times New Roman"/>
          <w:color w:val="auto"/>
          <w:kern w:val="2"/>
          <w:sz w:val="23"/>
        </w:rPr>
        <w:t>名称</w:t>
      </w:r>
      <w:r>
        <w:rPr>
          <w:rFonts w:hint="eastAsia" w:ascii="Times New Roman"/>
          <w:color w:val="auto"/>
          <w:kern w:val="2"/>
          <w:sz w:val="23"/>
        </w:rPr>
        <w:t>】</w:t>
      </w:r>
      <w:r>
        <w:rPr>
          <w:rFonts w:ascii="Times New Roman"/>
          <w:color w:val="auto"/>
          <w:kern w:val="2"/>
          <w:sz w:val="23"/>
        </w:rPr>
        <w:t xml:space="preserve">（公章） </w:t>
      </w:r>
      <w:r>
        <w:rPr>
          <w:rFonts w:hint="eastAsia" w:ascii="Times New Roman"/>
          <w:color w:val="auto"/>
          <w:kern w:val="2"/>
          <w:sz w:val="23"/>
        </w:rPr>
        <w:t>（自然人签名）</w:t>
      </w:r>
    </w:p>
    <w:p w14:paraId="65A66408">
      <w:pPr>
        <w:pStyle w:val="32"/>
        <w:spacing w:after="240" w:afterLines="100" w:line="300" w:lineRule="auto"/>
        <w:jc w:val="both"/>
        <w:rPr>
          <w:rFonts w:ascii="Times New Roman"/>
          <w:color w:val="auto"/>
          <w:kern w:val="2"/>
          <w:sz w:val="23"/>
        </w:rPr>
      </w:pPr>
      <w:r>
        <w:rPr>
          <w:rFonts w:hint="eastAsia" w:ascii="Times New Roman"/>
          <w:color w:val="auto"/>
          <w:kern w:val="2"/>
          <w:sz w:val="23"/>
        </w:rPr>
        <w:t>法定代表人（负责人）/授权代表（签名或盖章）</w:t>
      </w:r>
      <w:r>
        <w:rPr>
          <w:rFonts w:ascii="Times New Roman"/>
          <w:color w:val="auto"/>
          <w:kern w:val="2"/>
          <w:sz w:val="23"/>
        </w:rPr>
        <w:t xml:space="preserve">：___________________ </w:t>
      </w:r>
    </w:p>
    <w:p w14:paraId="5A257491">
      <w:pPr>
        <w:pStyle w:val="32"/>
        <w:spacing w:after="240" w:afterLines="100" w:line="300" w:lineRule="auto"/>
        <w:ind w:firstLine="460" w:firstLineChars="200"/>
        <w:jc w:val="both"/>
        <w:rPr>
          <w:rFonts w:ascii="Times New Roman"/>
          <w:color w:val="auto"/>
          <w:kern w:val="2"/>
          <w:sz w:val="23"/>
        </w:rPr>
      </w:pPr>
      <w:r>
        <w:rPr>
          <w:rFonts w:ascii="Times New Roman"/>
          <w:color w:val="auto"/>
          <w:kern w:val="2"/>
          <w:sz w:val="23"/>
        </w:rPr>
        <w:t xml:space="preserve">年　　 月　     日     </w:t>
      </w:r>
    </w:p>
    <w:p w14:paraId="1A449336">
      <w:pPr>
        <w:pStyle w:val="32"/>
        <w:spacing w:after="240" w:afterLines="100" w:line="300" w:lineRule="auto"/>
        <w:jc w:val="both"/>
        <w:rPr>
          <w:rFonts w:ascii="Times New Roman"/>
          <w:b/>
          <w:color w:val="auto"/>
          <w:kern w:val="2"/>
          <w:sz w:val="23"/>
        </w:rPr>
      </w:pPr>
      <w:r>
        <w:rPr>
          <w:rFonts w:ascii="Times New Roman"/>
          <w:color w:val="auto"/>
          <w:kern w:val="2"/>
          <w:sz w:val="23"/>
        </w:rPr>
        <w:br w:type="page"/>
      </w:r>
      <w:r>
        <w:rPr>
          <w:rFonts w:ascii="Times New Roman"/>
          <w:b/>
          <w:color w:val="auto"/>
          <w:kern w:val="2"/>
          <w:sz w:val="23"/>
        </w:rPr>
        <w:t>附表A</w:t>
      </w:r>
    </w:p>
    <w:p w14:paraId="73516BA9">
      <w:pPr>
        <w:pStyle w:val="32"/>
        <w:spacing w:after="240" w:afterLines="100" w:line="300" w:lineRule="auto"/>
        <w:jc w:val="both"/>
        <w:rPr>
          <w:rFonts w:ascii="Times New Roman"/>
          <w:b/>
          <w:color w:val="auto"/>
          <w:kern w:val="2"/>
          <w:sz w:val="23"/>
        </w:rPr>
      </w:pPr>
      <w:r>
        <w:rPr>
          <w:rFonts w:ascii="Times New Roman"/>
          <w:b/>
          <w:color w:val="auto"/>
          <w:kern w:val="2"/>
          <w:sz w:val="23"/>
        </w:rPr>
        <w:t>资产文件清单</w:t>
      </w:r>
    </w:p>
    <w:p w14:paraId="4EF89460">
      <w:pPr>
        <w:pStyle w:val="32"/>
        <w:jc w:val="both"/>
        <w:rPr>
          <w:b/>
          <w:color w:val="auto"/>
          <w:sz w:val="23"/>
        </w:rPr>
      </w:pPr>
    </w:p>
    <w:tbl>
      <w:tblPr>
        <w:tblStyle w:val="25"/>
        <w:tblW w:w="8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440"/>
        <w:gridCol w:w="1395"/>
        <w:gridCol w:w="1470"/>
        <w:gridCol w:w="945"/>
        <w:gridCol w:w="1470"/>
      </w:tblGrid>
      <w:tr w14:paraId="71C9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526" w:type="dxa"/>
            <w:vMerge w:val="restart"/>
            <w:tcBorders>
              <w:bottom w:val="single" w:color="auto" w:sz="4" w:space="0"/>
            </w:tcBorders>
            <w:vAlign w:val="center"/>
          </w:tcPr>
          <w:p w14:paraId="00E90B20">
            <w:pPr>
              <w:widowControl/>
              <w:spacing w:after="100" w:line="300" w:lineRule="auto"/>
              <w:jc w:val="center"/>
            </w:pPr>
            <w:r>
              <w:t>债务人名称</w:t>
            </w:r>
          </w:p>
        </w:tc>
        <w:tc>
          <w:tcPr>
            <w:tcW w:w="1440" w:type="dxa"/>
            <w:vMerge w:val="restart"/>
            <w:vAlign w:val="center"/>
          </w:tcPr>
          <w:p w14:paraId="3A95BE20">
            <w:pPr>
              <w:widowControl/>
              <w:spacing w:after="100" w:line="300" w:lineRule="auto"/>
              <w:jc w:val="center"/>
            </w:pPr>
            <w:r>
              <w:t>文件名称</w:t>
            </w:r>
          </w:p>
        </w:tc>
        <w:tc>
          <w:tcPr>
            <w:tcW w:w="1395" w:type="dxa"/>
            <w:vMerge w:val="restart"/>
            <w:vAlign w:val="center"/>
          </w:tcPr>
          <w:p w14:paraId="34821DB1">
            <w:pPr>
              <w:spacing w:after="100" w:line="300" w:lineRule="auto"/>
              <w:jc w:val="center"/>
            </w:pPr>
            <w:r>
              <w:t>文件编号</w:t>
            </w:r>
          </w:p>
        </w:tc>
        <w:tc>
          <w:tcPr>
            <w:tcW w:w="1470" w:type="dxa"/>
            <w:vMerge w:val="restart"/>
            <w:vAlign w:val="center"/>
          </w:tcPr>
          <w:p w14:paraId="54A7A211">
            <w:pPr>
              <w:spacing w:after="100" w:line="300" w:lineRule="auto"/>
              <w:jc w:val="center"/>
            </w:pPr>
            <w:r>
              <w:t>是否原件</w:t>
            </w:r>
          </w:p>
        </w:tc>
        <w:tc>
          <w:tcPr>
            <w:tcW w:w="945" w:type="dxa"/>
            <w:vMerge w:val="restart"/>
            <w:tcBorders>
              <w:bottom w:val="single" w:color="auto" w:sz="4" w:space="0"/>
            </w:tcBorders>
            <w:vAlign w:val="center"/>
          </w:tcPr>
          <w:p w14:paraId="2A743ABA">
            <w:pPr>
              <w:spacing w:after="100" w:line="300" w:lineRule="auto"/>
              <w:jc w:val="center"/>
            </w:pPr>
            <w:r>
              <w:t>页数</w:t>
            </w:r>
          </w:p>
        </w:tc>
        <w:tc>
          <w:tcPr>
            <w:tcW w:w="1470" w:type="dxa"/>
            <w:vMerge w:val="restart"/>
            <w:tcBorders>
              <w:bottom w:val="single" w:color="auto" w:sz="4" w:space="0"/>
            </w:tcBorders>
            <w:vAlign w:val="center"/>
          </w:tcPr>
          <w:p w14:paraId="178617D5">
            <w:pPr>
              <w:spacing w:after="100" w:line="300" w:lineRule="auto"/>
              <w:jc w:val="center"/>
            </w:pPr>
            <w:r>
              <w:t>备注</w:t>
            </w:r>
          </w:p>
        </w:tc>
      </w:tr>
      <w:tr w14:paraId="78A9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jc w:val="center"/>
        </w:trPr>
        <w:tc>
          <w:tcPr>
            <w:tcW w:w="1526" w:type="dxa"/>
            <w:vMerge w:val="continue"/>
            <w:tcBorders>
              <w:bottom w:val="single" w:color="auto" w:sz="4" w:space="0"/>
            </w:tcBorders>
          </w:tcPr>
          <w:p w14:paraId="0A02F58A">
            <w:pPr>
              <w:spacing w:after="100" w:line="300" w:lineRule="auto"/>
              <w:rPr>
                <w:sz w:val="18"/>
                <w:szCs w:val="18"/>
              </w:rPr>
            </w:pPr>
          </w:p>
        </w:tc>
        <w:tc>
          <w:tcPr>
            <w:tcW w:w="1440" w:type="dxa"/>
            <w:vMerge w:val="continue"/>
            <w:tcBorders>
              <w:bottom w:val="nil"/>
            </w:tcBorders>
          </w:tcPr>
          <w:p w14:paraId="4EB71705">
            <w:pPr>
              <w:widowControl/>
              <w:spacing w:after="100" w:line="300" w:lineRule="auto"/>
              <w:rPr>
                <w:sz w:val="18"/>
                <w:szCs w:val="18"/>
              </w:rPr>
            </w:pPr>
          </w:p>
        </w:tc>
        <w:tc>
          <w:tcPr>
            <w:tcW w:w="1395" w:type="dxa"/>
            <w:vMerge w:val="continue"/>
            <w:tcBorders>
              <w:bottom w:val="nil"/>
            </w:tcBorders>
          </w:tcPr>
          <w:p w14:paraId="56C88C30">
            <w:pPr>
              <w:widowControl/>
              <w:spacing w:after="100" w:line="300" w:lineRule="auto"/>
              <w:rPr>
                <w:sz w:val="18"/>
                <w:szCs w:val="18"/>
              </w:rPr>
            </w:pPr>
          </w:p>
        </w:tc>
        <w:tc>
          <w:tcPr>
            <w:tcW w:w="1470" w:type="dxa"/>
            <w:vMerge w:val="continue"/>
            <w:tcBorders>
              <w:bottom w:val="nil"/>
            </w:tcBorders>
          </w:tcPr>
          <w:p w14:paraId="49001FDA">
            <w:pPr>
              <w:widowControl/>
              <w:spacing w:after="100" w:line="300" w:lineRule="auto"/>
              <w:rPr>
                <w:sz w:val="18"/>
                <w:szCs w:val="18"/>
              </w:rPr>
            </w:pPr>
          </w:p>
        </w:tc>
        <w:tc>
          <w:tcPr>
            <w:tcW w:w="945" w:type="dxa"/>
            <w:vMerge w:val="continue"/>
            <w:tcBorders>
              <w:bottom w:val="single" w:color="auto" w:sz="4" w:space="0"/>
            </w:tcBorders>
          </w:tcPr>
          <w:p w14:paraId="01EB054A">
            <w:pPr>
              <w:spacing w:after="100" w:line="300" w:lineRule="auto"/>
              <w:rPr>
                <w:sz w:val="18"/>
                <w:szCs w:val="18"/>
              </w:rPr>
            </w:pPr>
          </w:p>
        </w:tc>
        <w:tc>
          <w:tcPr>
            <w:tcW w:w="1470" w:type="dxa"/>
            <w:vMerge w:val="continue"/>
            <w:tcBorders>
              <w:bottom w:val="single" w:color="auto" w:sz="4" w:space="0"/>
            </w:tcBorders>
          </w:tcPr>
          <w:p w14:paraId="5EA35830">
            <w:pPr>
              <w:spacing w:after="100" w:line="300" w:lineRule="auto"/>
              <w:rPr>
                <w:sz w:val="18"/>
                <w:szCs w:val="18"/>
              </w:rPr>
            </w:pPr>
          </w:p>
        </w:tc>
      </w:tr>
      <w:tr w14:paraId="7097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26" w:type="dxa"/>
            <w:vMerge w:val="restart"/>
            <w:vAlign w:val="center"/>
          </w:tcPr>
          <w:p w14:paraId="3194C62D">
            <w:pPr>
              <w:spacing w:after="100" w:line="300" w:lineRule="auto"/>
              <w:rPr>
                <w:sz w:val="18"/>
                <w:szCs w:val="18"/>
              </w:rPr>
            </w:pPr>
            <w:r>
              <w:rPr>
                <w:kern w:val="0"/>
                <w:sz w:val="18"/>
                <w:szCs w:val="18"/>
              </w:rPr>
              <w:t xml:space="preserve">   </w:t>
            </w:r>
          </w:p>
        </w:tc>
        <w:tc>
          <w:tcPr>
            <w:tcW w:w="1440" w:type="dxa"/>
            <w:vAlign w:val="center"/>
          </w:tcPr>
          <w:p w14:paraId="0503CE15">
            <w:pPr>
              <w:spacing w:after="100" w:line="300" w:lineRule="auto"/>
              <w:rPr>
                <w:sz w:val="18"/>
                <w:szCs w:val="18"/>
              </w:rPr>
            </w:pPr>
            <w:r>
              <w:rPr>
                <w:sz w:val="18"/>
                <w:szCs w:val="18"/>
              </w:rPr>
              <w:t xml:space="preserve">    </w:t>
            </w:r>
          </w:p>
        </w:tc>
        <w:tc>
          <w:tcPr>
            <w:tcW w:w="1395" w:type="dxa"/>
            <w:vAlign w:val="center"/>
          </w:tcPr>
          <w:p w14:paraId="50B6978E">
            <w:pPr>
              <w:spacing w:after="100" w:line="300" w:lineRule="auto"/>
              <w:rPr>
                <w:sz w:val="18"/>
                <w:szCs w:val="18"/>
              </w:rPr>
            </w:pPr>
            <w:r>
              <w:rPr>
                <w:sz w:val="18"/>
                <w:szCs w:val="18"/>
              </w:rPr>
              <w:t xml:space="preserve">    </w:t>
            </w:r>
          </w:p>
        </w:tc>
        <w:tc>
          <w:tcPr>
            <w:tcW w:w="1470" w:type="dxa"/>
            <w:vAlign w:val="center"/>
          </w:tcPr>
          <w:p w14:paraId="39F2CA63">
            <w:pPr>
              <w:spacing w:after="100" w:line="300" w:lineRule="auto"/>
              <w:rPr>
                <w:sz w:val="18"/>
                <w:szCs w:val="18"/>
              </w:rPr>
            </w:pPr>
          </w:p>
        </w:tc>
        <w:tc>
          <w:tcPr>
            <w:tcW w:w="945" w:type="dxa"/>
            <w:vAlign w:val="center"/>
          </w:tcPr>
          <w:p w14:paraId="33A1032F">
            <w:pPr>
              <w:spacing w:after="100" w:line="300" w:lineRule="auto"/>
              <w:rPr>
                <w:sz w:val="18"/>
                <w:szCs w:val="18"/>
              </w:rPr>
            </w:pPr>
          </w:p>
        </w:tc>
        <w:tc>
          <w:tcPr>
            <w:tcW w:w="1470" w:type="dxa"/>
            <w:vAlign w:val="center"/>
          </w:tcPr>
          <w:p w14:paraId="2DF63F19">
            <w:pPr>
              <w:spacing w:after="100" w:line="300" w:lineRule="auto"/>
              <w:rPr>
                <w:sz w:val="18"/>
                <w:szCs w:val="18"/>
              </w:rPr>
            </w:pPr>
          </w:p>
        </w:tc>
      </w:tr>
      <w:tr w14:paraId="3C23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26" w:type="dxa"/>
            <w:vMerge w:val="continue"/>
          </w:tcPr>
          <w:p w14:paraId="686A1F10">
            <w:pPr>
              <w:spacing w:after="100" w:line="300" w:lineRule="auto"/>
              <w:rPr>
                <w:sz w:val="18"/>
                <w:szCs w:val="18"/>
              </w:rPr>
            </w:pPr>
          </w:p>
        </w:tc>
        <w:tc>
          <w:tcPr>
            <w:tcW w:w="1440" w:type="dxa"/>
          </w:tcPr>
          <w:p w14:paraId="14C01BB9">
            <w:pPr>
              <w:spacing w:after="100" w:line="300" w:lineRule="auto"/>
              <w:rPr>
                <w:sz w:val="18"/>
                <w:szCs w:val="18"/>
              </w:rPr>
            </w:pPr>
            <w:r>
              <w:rPr>
                <w:sz w:val="18"/>
                <w:szCs w:val="18"/>
              </w:rPr>
              <w:t xml:space="preserve">    </w:t>
            </w:r>
          </w:p>
        </w:tc>
        <w:tc>
          <w:tcPr>
            <w:tcW w:w="1395" w:type="dxa"/>
            <w:vAlign w:val="center"/>
          </w:tcPr>
          <w:p w14:paraId="3DCC10B2">
            <w:pPr>
              <w:spacing w:after="100" w:line="300" w:lineRule="auto"/>
              <w:rPr>
                <w:sz w:val="18"/>
                <w:szCs w:val="18"/>
              </w:rPr>
            </w:pPr>
            <w:r>
              <w:rPr>
                <w:kern w:val="0"/>
                <w:sz w:val="18"/>
                <w:szCs w:val="18"/>
              </w:rPr>
              <w:t xml:space="preserve">    </w:t>
            </w:r>
          </w:p>
        </w:tc>
        <w:tc>
          <w:tcPr>
            <w:tcW w:w="1470" w:type="dxa"/>
            <w:vAlign w:val="center"/>
          </w:tcPr>
          <w:p w14:paraId="30FE66AB">
            <w:pPr>
              <w:spacing w:after="100" w:line="300" w:lineRule="auto"/>
              <w:rPr>
                <w:sz w:val="18"/>
                <w:szCs w:val="18"/>
              </w:rPr>
            </w:pPr>
          </w:p>
        </w:tc>
        <w:tc>
          <w:tcPr>
            <w:tcW w:w="945" w:type="dxa"/>
            <w:vAlign w:val="center"/>
          </w:tcPr>
          <w:p w14:paraId="5DB2C0C3">
            <w:pPr>
              <w:spacing w:after="100" w:line="300" w:lineRule="auto"/>
              <w:rPr>
                <w:sz w:val="18"/>
                <w:szCs w:val="18"/>
              </w:rPr>
            </w:pPr>
          </w:p>
        </w:tc>
        <w:tc>
          <w:tcPr>
            <w:tcW w:w="1470" w:type="dxa"/>
            <w:vAlign w:val="center"/>
          </w:tcPr>
          <w:p w14:paraId="3428B211">
            <w:pPr>
              <w:spacing w:after="100" w:line="300" w:lineRule="auto"/>
              <w:rPr>
                <w:sz w:val="18"/>
                <w:szCs w:val="18"/>
              </w:rPr>
            </w:pPr>
          </w:p>
        </w:tc>
      </w:tr>
      <w:tr w14:paraId="65DD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26" w:type="dxa"/>
            <w:vMerge w:val="restart"/>
          </w:tcPr>
          <w:p w14:paraId="272ADC70">
            <w:pPr>
              <w:spacing w:after="100" w:line="300" w:lineRule="auto"/>
              <w:rPr>
                <w:sz w:val="18"/>
                <w:szCs w:val="18"/>
              </w:rPr>
            </w:pPr>
          </w:p>
        </w:tc>
        <w:tc>
          <w:tcPr>
            <w:tcW w:w="1440" w:type="dxa"/>
          </w:tcPr>
          <w:p w14:paraId="0B44B6C0">
            <w:pPr>
              <w:spacing w:after="100" w:line="300" w:lineRule="auto"/>
              <w:rPr>
                <w:sz w:val="18"/>
                <w:szCs w:val="18"/>
              </w:rPr>
            </w:pPr>
            <w:r>
              <w:rPr>
                <w:sz w:val="18"/>
                <w:szCs w:val="18"/>
              </w:rPr>
              <w:t xml:space="preserve">    </w:t>
            </w:r>
          </w:p>
        </w:tc>
        <w:tc>
          <w:tcPr>
            <w:tcW w:w="1395" w:type="dxa"/>
            <w:vAlign w:val="center"/>
          </w:tcPr>
          <w:p w14:paraId="3281BC52">
            <w:pPr>
              <w:spacing w:after="100" w:line="300" w:lineRule="auto"/>
              <w:rPr>
                <w:sz w:val="18"/>
                <w:szCs w:val="18"/>
              </w:rPr>
            </w:pPr>
            <w:r>
              <w:rPr>
                <w:kern w:val="0"/>
                <w:sz w:val="18"/>
                <w:szCs w:val="18"/>
              </w:rPr>
              <w:t xml:space="preserve">    </w:t>
            </w:r>
          </w:p>
        </w:tc>
        <w:tc>
          <w:tcPr>
            <w:tcW w:w="1470" w:type="dxa"/>
            <w:vAlign w:val="center"/>
          </w:tcPr>
          <w:p w14:paraId="10F37D2D">
            <w:pPr>
              <w:spacing w:after="100" w:line="300" w:lineRule="auto"/>
              <w:rPr>
                <w:sz w:val="18"/>
                <w:szCs w:val="18"/>
              </w:rPr>
            </w:pPr>
          </w:p>
        </w:tc>
        <w:tc>
          <w:tcPr>
            <w:tcW w:w="945" w:type="dxa"/>
            <w:vAlign w:val="center"/>
          </w:tcPr>
          <w:p w14:paraId="40C93221">
            <w:pPr>
              <w:spacing w:after="100" w:line="300" w:lineRule="auto"/>
              <w:rPr>
                <w:sz w:val="18"/>
                <w:szCs w:val="18"/>
              </w:rPr>
            </w:pPr>
          </w:p>
        </w:tc>
        <w:tc>
          <w:tcPr>
            <w:tcW w:w="1470" w:type="dxa"/>
            <w:vAlign w:val="center"/>
          </w:tcPr>
          <w:p w14:paraId="41ED4E8F">
            <w:pPr>
              <w:spacing w:after="100" w:line="300" w:lineRule="auto"/>
              <w:rPr>
                <w:sz w:val="18"/>
                <w:szCs w:val="18"/>
              </w:rPr>
            </w:pPr>
          </w:p>
        </w:tc>
      </w:tr>
      <w:tr w14:paraId="17F4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26" w:type="dxa"/>
            <w:vMerge w:val="continue"/>
          </w:tcPr>
          <w:p w14:paraId="1411EBAE">
            <w:pPr>
              <w:spacing w:after="100" w:line="300" w:lineRule="auto"/>
              <w:rPr>
                <w:sz w:val="18"/>
                <w:szCs w:val="18"/>
              </w:rPr>
            </w:pPr>
          </w:p>
        </w:tc>
        <w:tc>
          <w:tcPr>
            <w:tcW w:w="1440" w:type="dxa"/>
          </w:tcPr>
          <w:p w14:paraId="7874A875">
            <w:pPr>
              <w:spacing w:after="100" w:line="300" w:lineRule="auto"/>
              <w:rPr>
                <w:sz w:val="18"/>
                <w:szCs w:val="18"/>
              </w:rPr>
            </w:pPr>
            <w:r>
              <w:rPr>
                <w:sz w:val="18"/>
                <w:szCs w:val="18"/>
              </w:rPr>
              <w:t xml:space="preserve">    </w:t>
            </w:r>
          </w:p>
        </w:tc>
        <w:tc>
          <w:tcPr>
            <w:tcW w:w="1395" w:type="dxa"/>
            <w:vAlign w:val="center"/>
          </w:tcPr>
          <w:p w14:paraId="3040BF3B">
            <w:pPr>
              <w:spacing w:after="100" w:line="300" w:lineRule="auto"/>
              <w:rPr>
                <w:sz w:val="18"/>
                <w:szCs w:val="18"/>
              </w:rPr>
            </w:pPr>
          </w:p>
        </w:tc>
        <w:tc>
          <w:tcPr>
            <w:tcW w:w="1470" w:type="dxa"/>
            <w:vAlign w:val="center"/>
          </w:tcPr>
          <w:p w14:paraId="3DB117FD">
            <w:pPr>
              <w:spacing w:after="100" w:line="300" w:lineRule="auto"/>
              <w:rPr>
                <w:sz w:val="18"/>
                <w:szCs w:val="18"/>
              </w:rPr>
            </w:pPr>
          </w:p>
        </w:tc>
        <w:tc>
          <w:tcPr>
            <w:tcW w:w="945" w:type="dxa"/>
            <w:vAlign w:val="center"/>
          </w:tcPr>
          <w:p w14:paraId="1690BEF5">
            <w:pPr>
              <w:spacing w:after="100" w:line="300" w:lineRule="auto"/>
              <w:rPr>
                <w:sz w:val="18"/>
                <w:szCs w:val="18"/>
              </w:rPr>
            </w:pPr>
          </w:p>
        </w:tc>
        <w:tc>
          <w:tcPr>
            <w:tcW w:w="1470" w:type="dxa"/>
            <w:vAlign w:val="center"/>
          </w:tcPr>
          <w:p w14:paraId="1B1B4FF4">
            <w:pPr>
              <w:spacing w:after="100" w:line="300" w:lineRule="auto"/>
              <w:rPr>
                <w:sz w:val="18"/>
                <w:szCs w:val="18"/>
              </w:rPr>
            </w:pPr>
          </w:p>
        </w:tc>
      </w:tr>
      <w:tr w14:paraId="3B9A4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26" w:type="dxa"/>
            <w:vMerge w:val="restart"/>
          </w:tcPr>
          <w:p w14:paraId="657F63CE">
            <w:pPr>
              <w:spacing w:after="100" w:line="300" w:lineRule="auto"/>
              <w:rPr>
                <w:sz w:val="18"/>
                <w:szCs w:val="18"/>
              </w:rPr>
            </w:pPr>
          </w:p>
        </w:tc>
        <w:tc>
          <w:tcPr>
            <w:tcW w:w="1440" w:type="dxa"/>
          </w:tcPr>
          <w:p w14:paraId="5F4854BB">
            <w:pPr>
              <w:spacing w:after="100" w:line="300" w:lineRule="auto"/>
              <w:rPr>
                <w:sz w:val="18"/>
                <w:szCs w:val="18"/>
              </w:rPr>
            </w:pPr>
            <w:r>
              <w:rPr>
                <w:sz w:val="18"/>
                <w:szCs w:val="18"/>
              </w:rPr>
              <w:t xml:space="preserve">    </w:t>
            </w:r>
          </w:p>
        </w:tc>
        <w:tc>
          <w:tcPr>
            <w:tcW w:w="1395" w:type="dxa"/>
            <w:vAlign w:val="center"/>
          </w:tcPr>
          <w:p w14:paraId="2F920BA5">
            <w:pPr>
              <w:spacing w:after="100" w:line="300" w:lineRule="auto"/>
              <w:rPr>
                <w:sz w:val="18"/>
                <w:szCs w:val="18"/>
              </w:rPr>
            </w:pPr>
          </w:p>
        </w:tc>
        <w:tc>
          <w:tcPr>
            <w:tcW w:w="1470" w:type="dxa"/>
            <w:vAlign w:val="center"/>
          </w:tcPr>
          <w:p w14:paraId="4A123D0A">
            <w:pPr>
              <w:spacing w:after="100" w:line="300" w:lineRule="auto"/>
              <w:rPr>
                <w:sz w:val="18"/>
                <w:szCs w:val="18"/>
              </w:rPr>
            </w:pPr>
          </w:p>
        </w:tc>
        <w:tc>
          <w:tcPr>
            <w:tcW w:w="945" w:type="dxa"/>
            <w:vAlign w:val="center"/>
          </w:tcPr>
          <w:p w14:paraId="088794D9">
            <w:pPr>
              <w:spacing w:after="100" w:line="300" w:lineRule="auto"/>
              <w:rPr>
                <w:sz w:val="18"/>
                <w:szCs w:val="18"/>
              </w:rPr>
            </w:pPr>
          </w:p>
        </w:tc>
        <w:tc>
          <w:tcPr>
            <w:tcW w:w="1470" w:type="dxa"/>
            <w:vAlign w:val="center"/>
          </w:tcPr>
          <w:p w14:paraId="0D83CC46">
            <w:pPr>
              <w:spacing w:after="100" w:line="300" w:lineRule="auto"/>
              <w:rPr>
                <w:sz w:val="18"/>
                <w:szCs w:val="18"/>
              </w:rPr>
            </w:pPr>
          </w:p>
        </w:tc>
      </w:tr>
      <w:tr w14:paraId="234D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26" w:type="dxa"/>
            <w:vMerge w:val="continue"/>
            <w:tcBorders>
              <w:bottom w:val="single" w:color="auto" w:sz="4" w:space="0"/>
            </w:tcBorders>
          </w:tcPr>
          <w:p w14:paraId="483D3AEA">
            <w:pPr>
              <w:spacing w:after="100" w:line="300" w:lineRule="auto"/>
              <w:rPr>
                <w:sz w:val="18"/>
                <w:szCs w:val="18"/>
              </w:rPr>
            </w:pPr>
          </w:p>
        </w:tc>
        <w:tc>
          <w:tcPr>
            <w:tcW w:w="1440" w:type="dxa"/>
          </w:tcPr>
          <w:p w14:paraId="523F9170">
            <w:pPr>
              <w:spacing w:after="100" w:line="300" w:lineRule="auto"/>
              <w:rPr>
                <w:sz w:val="18"/>
                <w:szCs w:val="18"/>
              </w:rPr>
            </w:pPr>
          </w:p>
        </w:tc>
        <w:tc>
          <w:tcPr>
            <w:tcW w:w="1395" w:type="dxa"/>
            <w:vAlign w:val="center"/>
          </w:tcPr>
          <w:p w14:paraId="1DA368BF">
            <w:pPr>
              <w:spacing w:after="100" w:line="300" w:lineRule="auto"/>
              <w:rPr>
                <w:sz w:val="18"/>
                <w:szCs w:val="18"/>
              </w:rPr>
            </w:pPr>
          </w:p>
        </w:tc>
        <w:tc>
          <w:tcPr>
            <w:tcW w:w="1470" w:type="dxa"/>
            <w:vAlign w:val="center"/>
          </w:tcPr>
          <w:p w14:paraId="39E7921E">
            <w:pPr>
              <w:spacing w:after="100" w:line="300" w:lineRule="auto"/>
              <w:rPr>
                <w:sz w:val="18"/>
                <w:szCs w:val="18"/>
              </w:rPr>
            </w:pPr>
          </w:p>
        </w:tc>
        <w:tc>
          <w:tcPr>
            <w:tcW w:w="945" w:type="dxa"/>
            <w:vAlign w:val="center"/>
          </w:tcPr>
          <w:p w14:paraId="48D5E3E5">
            <w:pPr>
              <w:spacing w:after="100" w:line="300" w:lineRule="auto"/>
              <w:rPr>
                <w:sz w:val="18"/>
                <w:szCs w:val="18"/>
              </w:rPr>
            </w:pPr>
          </w:p>
        </w:tc>
        <w:tc>
          <w:tcPr>
            <w:tcW w:w="1470" w:type="dxa"/>
            <w:vAlign w:val="center"/>
          </w:tcPr>
          <w:p w14:paraId="09EC2464">
            <w:pPr>
              <w:spacing w:after="100" w:line="300" w:lineRule="auto"/>
              <w:rPr>
                <w:sz w:val="18"/>
                <w:szCs w:val="18"/>
              </w:rPr>
            </w:pPr>
          </w:p>
        </w:tc>
      </w:tr>
    </w:tbl>
    <w:p w14:paraId="41C16F0F">
      <w:pPr>
        <w:tabs>
          <w:tab w:val="left" w:pos="709"/>
        </w:tabs>
        <w:spacing w:after="240" w:afterLines="100" w:line="300" w:lineRule="auto"/>
        <w:ind w:left="709"/>
        <w:rPr>
          <w:sz w:val="23"/>
        </w:rPr>
      </w:pPr>
    </w:p>
    <w:p w14:paraId="777422A4">
      <w:pPr>
        <w:tabs>
          <w:tab w:val="left" w:pos="709"/>
        </w:tabs>
        <w:spacing w:after="240" w:afterLines="100" w:line="300" w:lineRule="auto"/>
        <w:ind w:left="709"/>
        <w:rPr>
          <w:sz w:val="23"/>
        </w:rPr>
      </w:pPr>
    </w:p>
    <w:p w14:paraId="2F5E08FC">
      <w:pPr>
        <w:tabs>
          <w:tab w:val="left" w:pos="709"/>
        </w:tabs>
        <w:spacing w:after="240" w:afterLines="100" w:line="300" w:lineRule="auto"/>
        <w:ind w:left="709"/>
        <w:rPr>
          <w:sz w:val="23"/>
        </w:rPr>
      </w:pPr>
    </w:p>
    <w:p w14:paraId="458165C5">
      <w:pPr>
        <w:tabs>
          <w:tab w:val="left" w:pos="709"/>
        </w:tabs>
        <w:spacing w:after="240" w:afterLines="100" w:line="300" w:lineRule="auto"/>
        <w:ind w:left="709"/>
        <w:rPr>
          <w:sz w:val="23"/>
        </w:rPr>
      </w:pPr>
    </w:p>
    <w:p w14:paraId="3EF4E276">
      <w:pPr>
        <w:tabs>
          <w:tab w:val="left" w:pos="709"/>
        </w:tabs>
        <w:spacing w:after="240" w:afterLines="100" w:line="300" w:lineRule="auto"/>
        <w:ind w:left="709"/>
        <w:rPr>
          <w:sz w:val="23"/>
        </w:rPr>
      </w:pPr>
    </w:p>
    <w:p w14:paraId="4C99604A">
      <w:pPr>
        <w:tabs>
          <w:tab w:val="left" w:pos="709"/>
        </w:tabs>
        <w:spacing w:after="240" w:afterLines="100" w:line="300" w:lineRule="auto"/>
        <w:ind w:left="709"/>
        <w:rPr>
          <w:sz w:val="23"/>
        </w:rPr>
      </w:pPr>
    </w:p>
    <w:p w14:paraId="5753A36D">
      <w:pPr>
        <w:tabs>
          <w:tab w:val="left" w:pos="709"/>
        </w:tabs>
        <w:spacing w:after="240" w:afterLines="100" w:line="300" w:lineRule="auto"/>
        <w:ind w:left="709"/>
        <w:rPr>
          <w:sz w:val="23"/>
        </w:rPr>
      </w:pPr>
    </w:p>
    <w:p w14:paraId="5CA03F0C">
      <w:pPr>
        <w:pStyle w:val="32"/>
        <w:spacing w:after="240" w:afterLines="100" w:line="300" w:lineRule="auto"/>
        <w:jc w:val="both"/>
      </w:pPr>
    </w:p>
    <w:sectPr>
      <w:footerReference r:id="rId5" w:type="default"/>
      <w:pgSz w:w="11907" w:h="16839"/>
      <w:pgMar w:top="1440" w:right="1417" w:bottom="822"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EngravrsRoman BT">
    <w:altName w:val="Georgia"/>
    <w:panose1 w:val="00000000000000000000"/>
    <w:charset w:val="00"/>
    <w:family w:val="roman"/>
    <w:pitch w:val="default"/>
    <w:sig w:usb0="00000000" w:usb1="00000000" w:usb2="00000000" w:usb3="00000000" w:csb0="00000011" w:csb1="00000000"/>
  </w:font>
  <w:font w:name="Batang">
    <w:altName w:val="Malgun Gothic"/>
    <w:panose1 w:val="02030600000101010101"/>
    <w:charset w:val="81"/>
    <w:family w:val="roman"/>
    <w:pitch w:val="default"/>
    <w:sig w:usb0="00000000" w:usb1="00000000" w:usb2="00000030" w:usb3="00000000" w:csb0="0008009F" w:csb1="00000000"/>
  </w:font>
  <w:font w:name="Calibri Light">
    <w:panose1 w:val="020F0302020204030204"/>
    <w:charset w:val="00"/>
    <w:family w:val="swiss"/>
    <w:pitch w:val="default"/>
    <w:sig w:usb0="E4002EFF" w:usb1="C000247B" w:usb2="00000009" w:usb3="00000000" w:csb0="200001FF"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Georgia">
    <w:panose1 w:val="02040502050405020303"/>
    <w:charset w:val="00"/>
    <w:family w:val="auto"/>
    <w:pitch w:val="default"/>
    <w:sig w:usb0="00000287" w:usb1="00000000" w:usb2="00000000" w:usb3="00000000" w:csb0="2000009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C8371">
    <w:pPr>
      <w:pStyle w:val="15"/>
      <w:framePr w:wrap="around" w:vAnchor="text" w:hAnchor="margin" w:xAlign="center" w:y="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8EC1">
    <w:pPr>
      <w:pStyle w:val="15"/>
      <w:jc w:val="center"/>
    </w:pPr>
    <w:r>
      <w:fldChar w:fldCharType="begin"/>
    </w:r>
    <w:r>
      <w:instrText xml:space="preserve">PAGE   \* MERGEFORMAT</w:instrText>
    </w:r>
    <w:r>
      <w:fldChar w:fldCharType="separate"/>
    </w:r>
    <w:r>
      <w:rPr>
        <w:lang w:val="zh-CN"/>
      </w:rPr>
      <w:t>3</w:t>
    </w:r>
    <w:r>
      <w:rPr>
        <w:lang w:val="zh-CN"/>
      </w:rPr>
      <w:fldChar w:fldCharType="end"/>
    </w:r>
  </w:p>
  <w:p w14:paraId="3DD88168">
    <w:pPr>
      <w:pStyle w:val="15"/>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8896F">
    <w:pPr>
      <w:pStyle w:val="15"/>
      <w:jc w:val="center"/>
    </w:pPr>
    <w:r>
      <w:fldChar w:fldCharType="begin"/>
    </w:r>
    <w:r>
      <w:instrText xml:space="preserve">PAGE   \* MERGEFORMAT</w:instrText>
    </w:r>
    <w:r>
      <w:fldChar w:fldCharType="separate"/>
    </w:r>
    <w:r>
      <w:rPr>
        <w:lang w:val="zh-CN"/>
      </w:rPr>
      <w:t>31</w:t>
    </w:r>
    <w:r>
      <w:rPr>
        <w:lang w:val="zh-CN"/>
      </w:rPr>
      <w:fldChar w:fldCharType="end"/>
    </w:r>
  </w:p>
  <w:p w14:paraId="073D36CA">
    <w:pPr>
      <w:pStyle w:val="15"/>
      <w:ind w:right="360"/>
      <w:jc w:val="center"/>
    </w:pPr>
  </w:p>
  <w:p w14:paraId="528139E8"/>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4"/>
      <w:lvlText w:val="%1."/>
      <w:lvlJc w:val="left"/>
      <w:pPr>
        <w:tabs>
          <w:tab w:val="left" w:pos="720"/>
        </w:tabs>
        <w:ind w:left="720" w:hanging="360"/>
      </w:pPr>
    </w:lvl>
  </w:abstractNum>
  <w:abstractNum w:abstractNumId="1">
    <w:nsid w:val="01AF551C"/>
    <w:multiLevelType w:val="multilevel"/>
    <w:tmpl w:val="01AF551C"/>
    <w:lvl w:ilvl="0" w:tentative="0">
      <w:start w:val="1"/>
      <w:numFmt w:val="decimal"/>
      <w:lvlText w:val="%1."/>
      <w:lvlJc w:val="left"/>
      <w:pPr>
        <w:tabs>
          <w:tab w:val="left" w:pos="709"/>
        </w:tabs>
        <w:ind w:left="709" w:hanging="709"/>
      </w:pPr>
      <w:rPr>
        <w:rFonts w:hint="default" w:ascii="Times New Roman" w:hAnsi="Times New Roman" w:cs="Times New Roman"/>
        <w:b w:val="0"/>
        <w:bCs/>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1"/>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2">
    <w:nsid w:val="059F516B"/>
    <w:multiLevelType w:val="multilevel"/>
    <w:tmpl w:val="059F516B"/>
    <w:lvl w:ilvl="0" w:tentative="0">
      <w:start w:val="1"/>
      <w:numFmt w:val="decimal"/>
      <w:lvlText w:val="%1."/>
      <w:lvlJc w:val="left"/>
      <w:pPr>
        <w:tabs>
          <w:tab w:val="left" w:pos="709"/>
        </w:tabs>
        <w:ind w:left="709" w:hanging="709"/>
      </w:pPr>
      <w:rPr>
        <w:rFonts w:hint="default" w:ascii="Times New Roman" w:hAnsi="Times New Roman" w:cs="Times New Roman"/>
        <w:b w:val="0"/>
        <w:bCs/>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1"/>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3">
    <w:nsid w:val="07877EF1"/>
    <w:multiLevelType w:val="multilevel"/>
    <w:tmpl w:val="07877EF1"/>
    <w:lvl w:ilvl="0" w:tentative="0">
      <w:start w:val="1"/>
      <w:numFmt w:val="upperRoman"/>
      <w:pStyle w:val="82"/>
      <w:suff w:val="nothing"/>
      <w:lvlText w:val="ARTICLE %1"/>
      <w:lvlJc w:val="left"/>
      <w:pPr>
        <w:ind w:left="0" w:firstLine="0"/>
      </w:pPr>
      <w:rPr>
        <w:rFonts w:ascii="Times New Roman" w:hAnsi="Times New Roman"/>
        <w:b/>
        <w:i w:val="0"/>
        <w:caps/>
        <w:smallCaps w:val="0"/>
        <w:sz w:val="22"/>
        <w:u w:val="none"/>
      </w:rPr>
    </w:lvl>
    <w:lvl w:ilvl="1" w:tentative="0">
      <w:start w:val="3"/>
      <w:numFmt w:val="decimal"/>
      <w:pStyle w:val="83"/>
      <w:isLgl/>
      <w:lvlText w:val="Section 4.%2"/>
      <w:lvlJc w:val="left"/>
      <w:pPr>
        <w:tabs>
          <w:tab w:val="left" w:pos="1800"/>
        </w:tabs>
        <w:ind w:left="0" w:firstLine="720"/>
      </w:pPr>
      <w:rPr>
        <w:rFonts w:ascii="Times New Roman" w:hAnsi="Times New Roman"/>
        <w:b/>
        <w:i w:val="0"/>
        <w:caps w:val="0"/>
        <w:sz w:val="22"/>
        <w:u w:val="none"/>
      </w:rPr>
    </w:lvl>
    <w:lvl w:ilvl="2" w:tentative="0">
      <w:start w:val="1"/>
      <w:numFmt w:val="decimal"/>
      <w:pStyle w:val="84"/>
      <w:lvlText w:val="%1.%2.%3"/>
      <w:lvlJc w:val="left"/>
      <w:pPr>
        <w:tabs>
          <w:tab w:val="left" w:pos="2160"/>
        </w:tabs>
        <w:ind w:left="0" w:firstLine="1440"/>
      </w:pPr>
      <w:rPr>
        <w:rFonts w:ascii="Times New Roman" w:hAnsi="Times New Roman"/>
        <w:b w:val="0"/>
        <w:i w:val="0"/>
        <w:caps w:val="0"/>
        <w:sz w:val="24"/>
        <w:u w:val="none"/>
      </w:rPr>
    </w:lvl>
    <w:lvl w:ilvl="3" w:tentative="0">
      <w:start w:val="1"/>
      <w:numFmt w:val="lowerLetter"/>
      <w:pStyle w:val="85"/>
      <w:lvlText w:val="(%4)"/>
      <w:lvlJc w:val="left"/>
      <w:pPr>
        <w:tabs>
          <w:tab w:val="left" w:pos="2880"/>
        </w:tabs>
        <w:ind w:left="0" w:firstLine="2160"/>
      </w:pPr>
      <w:rPr>
        <w:rFonts w:ascii="Times New Roman" w:hAnsi="Times New Roman"/>
        <w:b w:val="0"/>
        <w:i w:val="0"/>
        <w:caps w:val="0"/>
        <w:sz w:val="24"/>
        <w:u w:val="none"/>
      </w:rPr>
    </w:lvl>
    <w:lvl w:ilvl="4" w:tentative="0">
      <w:start w:val="1"/>
      <w:numFmt w:val="lowerRoman"/>
      <w:pStyle w:val="86"/>
      <w:lvlText w:val="(%5)"/>
      <w:lvlJc w:val="left"/>
      <w:pPr>
        <w:tabs>
          <w:tab w:val="left" w:pos="3600"/>
        </w:tabs>
        <w:ind w:left="0" w:firstLine="2880"/>
      </w:pPr>
      <w:rPr>
        <w:rFonts w:ascii="Times New Roman" w:hAnsi="Times New Roman"/>
        <w:b w:val="0"/>
        <w:i w:val="0"/>
        <w:caps w:val="0"/>
        <w:sz w:val="24"/>
        <w:u w:val="none"/>
      </w:rPr>
    </w:lvl>
    <w:lvl w:ilvl="5" w:tentative="0">
      <w:start w:val="1"/>
      <w:numFmt w:val="decimal"/>
      <w:pStyle w:val="87"/>
      <w:lvlText w:val="(%6)"/>
      <w:lvlJc w:val="left"/>
      <w:pPr>
        <w:tabs>
          <w:tab w:val="left" w:pos="4320"/>
        </w:tabs>
        <w:ind w:left="0" w:firstLine="3600"/>
      </w:pPr>
      <w:rPr>
        <w:rFonts w:ascii="Times New Roman" w:hAnsi="Times New Roman"/>
        <w:b w:val="0"/>
        <w:i w:val="0"/>
        <w:caps w:val="0"/>
        <w:sz w:val="24"/>
        <w:u w:val="none"/>
      </w:rPr>
    </w:lvl>
    <w:lvl w:ilvl="6" w:tentative="0">
      <w:start w:val="1"/>
      <w:numFmt w:val="lowerLetter"/>
      <w:pStyle w:val="88"/>
      <w:lvlText w:val="%7."/>
      <w:lvlJc w:val="left"/>
      <w:pPr>
        <w:tabs>
          <w:tab w:val="left" w:pos="5040"/>
        </w:tabs>
        <w:ind w:left="0" w:firstLine="4320"/>
      </w:pPr>
      <w:rPr>
        <w:rFonts w:ascii="Times New Roman" w:hAnsi="Times New Roman"/>
        <w:b w:val="0"/>
        <w:i w:val="0"/>
        <w:caps w:val="0"/>
        <w:sz w:val="24"/>
        <w:u w:val="none"/>
      </w:rPr>
    </w:lvl>
    <w:lvl w:ilvl="7" w:tentative="0">
      <w:start w:val="1"/>
      <w:numFmt w:val="lowerRoman"/>
      <w:pStyle w:val="89"/>
      <w:lvlText w:val="%8."/>
      <w:lvlJc w:val="left"/>
      <w:pPr>
        <w:tabs>
          <w:tab w:val="left" w:pos="5760"/>
        </w:tabs>
        <w:ind w:left="0" w:firstLine="5040"/>
      </w:pPr>
      <w:rPr>
        <w:rFonts w:ascii="Times New Roman" w:hAnsi="Times New Roman"/>
        <w:b w:val="0"/>
        <w:i w:val="0"/>
        <w:caps w:val="0"/>
        <w:sz w:val="24"/>
        <w:u w:val="none"/>
      </w:rPr>
    </w:lvl>
    <w:lvl w:ilvl="8" w:tentative="0">
      <w:start w:val="1"/>
      <w:numFmt w:val="decimal"/>
      <w:pStyle w:val="90"/>
      <w:lvlText w:val="%9."/>
      <w:lvlJc w:val="left"/>
      <w:pPr>
        <w:tabs>
          <w:tab w:val="left" w:pos="6480"/>
        </w:tabs>
        <w:ind w:left="0" w:firstLine="5760"/>
      </w:pPr>
      <w:rPr>
        <w:rFonts w:ascii="Times New Roman" w:hAnsi="Times New Roman"/>
        <w:b w:val="0"/>
        <w:i w:val="0"/>
        <w:caps w:val="0"/>
        <w:sz w:val="24"/>
        <w:u w:val="none"/>
      </w:rPr>
    </w:lvl>
  </w:abstractNum>
  <w:abstractNum w:abstractNumId="4">
    <w:nsid w:val="0DAF1DC2"/>
    <w:multiLevelType w:val="multilevel"/>
    <w:tmpl w:val="0DAF1DC2"/>
    <w:lvl w:ilvl="0" w:tentative="0">
      <w:start w:val="1"/>
      <w:numFmt w:val="decimal"/>
      <w:lvlText w:val="%1."/>
      <w:lvlJc w:val="left"/>
      <w:pPr>
        <w:tabs>
          <w:tab w:val="left" w:pos="709"/>
        </w:tabs>
        <w:ind w:left="709" w:hanging="709"/>
      </w:pPr>
      <w:rPr>
        <w:rFonts w:hint="default" w:ascii="Times New Roman" w:hAnsi="Times New Roman" w:cs="Times New Roman"/>
        <w:b w:val="0"/>
        <w:bCs/>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1"/>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5">
    <w:nsid w:val="25086982"/>
    <w:multiLevelType w:val="multilevel"/>
    <w:tmpl w:val="25086982"/>
    <w:lvl w:ilvl="0" w:tentative="0">
      <w:start w:val="1"/>
      <w:numFmt w:val="decimal"/>
      <w:lvlText w:val="%1."/>
      <w:lvlJc w:val="left"/>
      <w:pPr>
        <w:tabs>
          <w:tab w:val="left" w:pos="709"/>
        </w:tabs>
        <w:ind w:left="709" w:hanging="709"/>
      </w:pPr>
      <w:rPr>
        <w:rFonts w:hint="default" w:ascii="Times New Roman" w:hAnsi="Times New Roman" w:cs="Times New Roman"/>
        <w:b w:val="0"/>
        <w:bCs/>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3"/>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6">
    <w:nsid w:val="2DC52D0E"/>
    <w:multiLevelType w:val="multilevel"/>
    <w:tmpl w:val="2DC52D0E"/>
    <w:lvl w:ilvl="0" w:tentative="0">
      <w:start w:val="1"/>
      <w:numFmt w:val="decimal"/>
      <w:lvlText w:val="%1."/>
      <w:lvlJc w:val="left"/>
      <w:pPr>
        <w:tabs>
          <w:tab w:val="left" w:pos="709"/>
        </w:tabs>
        <w:ind w:left="709" w:hanging="709"/>
      </w:pPr>
      <w:rPr>
        <w:rFonts w:hint="default" w:ascii="Times New Roman" w:hAnsi="Times New Roman" w:cs="Times New Roman"/>
        <w:b/>
        <w:bCs w:val="0"/>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lang w:eastAsia="zh-CN"/>
      </w:rPr>
    </w:lvl>
    <w:lvl w:ilvl="2" w:tentative="0">
      <w:start w:val="1"/>
      <w:numFmt w:val="decimal"/>
      <w:lvlText w:val="(%3)"/>
      <w:lvlJc w:val="left"/>
      <w:pPr>
        <w:tabs>
          <w:tab w:val="left" w:pos="1418"/>
        </w:tabs>
        <w:ind w:left="1418" w:hanging="709"/>
      </w:pPr>
      <w:rPr>
        <w:rFonts w:hint="default" w:ascii="Times New Roman" w:hAnsi="Times New Roman" w:cs="Times New Roman"/>
        <w:b w:val="0"/>
        <w:bCs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7">
    <w:nsid w:val="363131E1"/>
    <w:multiLevelType w:val="multilevel"/>
    <w:tmpl w:val="363131E1"/>
    <w:lvl w:ilvl="0" w:tentative="0">
      <w:start w:val="1"/>
      <w:numFmt w:val="decimal"/>
      <w:lvlText w:val="%1."/>
      <w:lvlJc w:val="left"/>
      <w:pPr>
        <w:tabs>
          <w:tab w:val="left" w:pos="709"/>
        </w:tabs>
        <w:ind w:left="709" w:hanging="709"/>
      </w:pPr>
      <w:rPr>
        <w:rFonts w:hint="default" w:ascii="Times New Roman" w:hAnsi="Times New Roman" w:cs="Times New Roman"/>
        <w:b w:val="0"/>
        <w:bCs/>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1"/>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8">
    <w:nsid w:val="3752715D"/>
    <w:multiLevelType w:val="multilevel"/>
    <w:tmpl w:val="3752715D"/>
    <w:lvl w:ilvl="0" w:tentative="0">
      <w:start w:val="1"/>
      <w:numFmt w:val="decimal"/>
      <w:lvlText w:val="%1."/>
      <w:lvlJc w:val="left"/>
      <w:pPr>
        <w:tabs>
          <w:tab w:val="left" w:pos="709"/>
        </w:tabs>
        <w:ind w:left="709" w:hanging="709"/>
      </w:pPr>
      <w:rPr>
        <w:rFonts w:hint="default" w:ascii="Times New Roman" w:hAnsi="Times New Roman" w:cs="Times New Roman"/>
        <w:b/>
        <w:bCs w:val="0"/>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1"/>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9">
    <w:nsid w:val="4CFF17ED"/>
    <w:multiLevelType w:val="multilevel"/>
    <w:tmpl w:val="4CFF17ED"/>
    <w:lvl w:ilvl="0" w:tentative="0">
      <w:start w:val="1"/>
      <w:numFmt w:val="decimalEnclosedCircle"/>
      <w:lvlText w:val="%1"/>
      <w:lvlJc w:val="left"/>
      <w:pPr>
        <w:ind w:left="1860" w:hanging="420"/>
      </w:pPr>
      <w:rPr>
        <w:rFonts w:hint="eastAsia"/>
      </w:rPr>
    </w:lvl>
    <w:lvl w:ilvl="1" w:tentative="0">
      <w:start w:val="1"/>
      <w:numFmt w:val="lowerLetter"/>
      <w:lvlText w:val="%2)"/>
      <w:lvlJc w:val="left"/>
      <w:pPr>
        <w:ind w:left="2280" w:hanging="420"/>
      </w:pPr>
    </w:lvl>
    <w:lvl w:ilvl="2" w:tentative="0">
      <w:start w:val="1"/>
      <w:numFmt w:val="lowerRoman"/>
      <w:lvlText w:val="%3."/>
      <w:lvlJc w:val="right"/>
      <w:pPr>
        <w:ind w:left="2700" w:hanging="420"/>
      </w:pPr>
    </w:lvl>
    <w:lvl w:ilvl="3" w:tentative="0">
      <w:start w:val="1"/>
      <w:numFmt w:val="decimal"/>
      <w:lvlText w:val="%4."/>
      <w:lvlJc w:val="left"/>
      <w:pPr>
        <w:ind w:left="3120" w:hanging="420"/>
      </w:pPr>
    </w:lvl>
    <w:lvl w:ilvl="4" w:tentative="0">
      <w:start w:val="1"/>
      <w:numFmt w:val="lowerLetter"/>
      <w:lvlText w:val="%5)"/>
      <w:lvlJc w:val="left"/>
      <w:pPr>
        <w:ind w:left="3540" w:hanging="420"/>
      </w:pPr>
    </w:lvl>
    <w:lvl w:ilvl="5" w:tentative="0">
      <w:start w:val="1"/>
      <w:numFmt w:val="lowerRoman"/>
      <w:lvlText w:val="%6."/>
      <w:lvlJc w:val="right"/>
      <w:pPr>
        <w:ind w:left="3960" w:hanging="420"/>
      </w:pPr>
    </w:lvl>
    <w:lvl w:ilvl="6" w:tentative="0">
      <w:start w:val="1"/>
      <w:numFmt w:val="decimal"/>
      <w:lvlText w:val="%7."/>
      <w:lvlJc w:val="left"/>
      <w:pPr>
        <w:ind w:left="4380" w:hanging="420"/>
      </w:pPr>
    </w:lvl>
    <w:lvl w:ilvl="7" w:tentative="0">
      <w:start w:val="1"/>
      <w:numFmt w:val="lowerLetter"/>
      <w:lvlText w:val="%8)"/>
      <w:lvlJc w:val="left"/>
      <w:pPr>
        <w:ind w:left="4800" w:hanging="420"/>
      </w:pPr>
    </w:lvl>
    <w:lvl w:ilvl="8" w:tentative="0">
      <w:start w:val="1"/>
      <w:numFmt w:val="lowerRoman"/>
      <w:lvlText w:val="%9."/>
      <w:lvlJc w:val="right"/>
      <w:pPr>
        <w:ind w:left="5220" w:hanging="420"/>
      </w:pPr>
    </w:lvl>
  </w:abstractNum>
  <w:abstractNum w:abstractNumId="10">
    <w:nsid w:val="5F2C547E"/>
    <w:multiLevelType w:val="multilevel"/>
    <w:tmpl w:val="5F2C547E"/>
    <w:lvl w:ilvl="0" w:tentative="0">
      <w:start w:val="1"/>
      <w:numFmt w:val="decimal"/>
      <w:lvlText w:val="%1."/>
      <w:lvlJc w:val="left"/>
      <w:pPr>
        <w:tabs>
          <w:tab w:val="left" w:pos="709"/>
        </w:tabs>
        <w:ind w:left="709" w:hanging="709"/>
      </w:pPr>
      <w:rPr>
        <w:rFonts w:hint="default" w:ascii="Times New Roman" w:hAnsi="Times New Roman" w:cs="Times New Roman"/>
        <w:b/>
        <w:bCs w:val="0"/>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1"/>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11">
    <w:nsid w:val="660E7941"/>
    <w:multiLevelType w:val="multilevel"/>
    <w:tmpl w:val="660E7941"/>
    <w:lvl w:ilvl="0" w:tentative="0">
      <w:start w:val="1"/>
      <w:numFmt w:val="decimal"/>
      <w:lvlText w:val="%1."/>
      <w:lvlJc w:val="left"/>
      <w:pPr>
        <w:tabs>
          <w:tab w:val="left" w:pos="709"/>
        </w:tabs>
        <w:ind w:left="709" w:hanging="709"/>
      </w:pPr>
      <w:rPr>
        <w:rFonts w:hint="default" w:ascii="Times New Roman" w:hAnsi="Times New Roman" w:cs="Times New Roman"/>
        <w:b/>
        <w:bCs w:val="0"/>
      </w:rPr>
    </w:lvl>
    <w:lvl w:ilvl="1" w:tentative="0">
      <w:start w:val="1"/>
      <w:numFmt w:val="decimal"/>
      <w:isLgl/>
      <w:lvlText w:val="%1.%2"/>
      <w:lvlJc w:val="left"/>
      <w:pPr>
        <w:tabs>
          <w:tab w:val="left" w:pos="709"/>
        </w:tabs>
        <w:ind w:left="709" w:hanging="709"/>
      </w:pPr>
      <w:rPr>
        <w:rFonts w:hint="default" w:ascii="Times New Roman" w:hAnsi="Times New Roman" w:cs="Times New Roman"/>
        <w:b w:val="0"/>
        <w:bCs w:val="0"/>
      </w:rPr>
    </w:lvl>
    <w:lvl w:ilvl="2" w:tentative="0">
      <w:start w:val="1"/>
      <w:numFmt w:val="decimal"/>
      <w:lvlText w:val="(%3)"/>
      <w:lvlJc w:val="left"/>
      <w:pPr>
        <w:tabs>
          <w:tab w:val="left" w:pos="1418"/>
        </w:tabs>
        <w:ind w:left="1418" w:hanging="709"/>
      </w:pPr>
      <w:rPr>
        <w:rFonts w:hint="default" w:ascii="Times New Roman" w:hAnsi="Times New Roman" w:cs="Times New Roman"/>
        <w:b w:val="0"/>
        <w:i w:val="0"/>
        <w:color w:val="auto"/>
      </w:rPr>
    </w:lvl>
    <w:lvl w:ilvl="3" w:tentative="0">
      <w:start w:val="1"/>
      <w:numFmt w:val="lowerLetter"/>
      <w:lvlText w:val="(%4)"/>
      <w:lvlJc w:val="left"/>
      <w:pPr>
        <w:tabs>
          <w:tab w:val="left" w:pos="1701"/>
        </w:tabs>
        <w:ind w:left="1701" w:hanging="454"/>
      </w:pPr>
      <w:rPr>
        <w:rFonts w:hint="default" w:ascii="Times New Roman" w:hAnsi="Times New Roman" w:cs="Times New Roman"/>
        <w:b w:val="0"/>
        <w:i w:val="0"/>
      </w:rPr>
    </w:lvl>
    <w:lvl w:ilvl="4" w:tentative="0">
      <w:start w:val="1"/>
      <w:numFmt w:val="lowerRoman"/>
      <w:lvlText w:val="(%5)"/>
      <w:lvlJc w:val="left"/>
      <w:pPr>
        <w:tabs>
          <w:tab w:val="left" w:pos="2268"/>
        </w:tabs>
        <w:ind w:left="2268" w:hanging="567"/>
      </w:pPr>
      <w:rPr>
        <w:rFonts w:hint="default" w:ascii="Arial" w:hAnsi="Arial" w:cs="Times New Roman"/>
        <w:b w:val="0"/>
      </w:rPr>
    </w:lvl>
    <w:lvl w:ilvl="5" w:tentative="0">
      <w:start w:val="1"/>
      <w:numFmt w:val="lowerRoman"/>
      <w:lvlText w:val="(%6)"/>
      <w:lvlJc w:val="left"/>
      <w:pPr>
        <w:tabs>
          <w:tab w:val="left" w:pos="2160"/>
        </w:tabs>
        <w:ind w:left="2160" w:hanging="360"/>
      </w:pPr>
      <w:rPr>
        <w:rFonts w:hint="eastAsia" w:cs="Times New Roman"/>
      </w:rPr>
    </w:lvl>
    <w:lvl w:ilvl="6" w:tentative="0">
      <w:start w:val="1"/>
      <w:numFmt w:val="decimal"/>
      <w:lvlText w:val="%7."/>
      <w:lvlJc w:val="left"/>
      <w:pPr>
        <w:tabs>
          <w:tab w:val="left" w:pos="2520"/>
        </w:tabs>
        <w:ind w:left="2520" w:hanging="360"/>
      </w:pPr>
      <w:rPr>
        <w:rFonts w:hint="eastAsia" w:cs="Times New Roman"/>
      </w:rPr>
    </w:lvl>
    <w:lvl w:ilvl="7" w:tentative="0">
      <w:start w:val="1"/>
      <w:numFmt w:val="lowerLetter"/>
      <w:lvlText w:val="%8."/>
      <w:lvlJc w:val="left"/>
      <w:pPr>
        <w:tabs>
          <w:tab w:val="left" w:pos="2880"/>
        </w:tabs>
        <w:ind w:left="2880" w:hanging="360"/>
      </w:pPr>
      <w:rPr>
        <w:rFonts w:hint="eastAsia" w:cs="Times New Roman"/>
      </w:rPr>
    </w:lvl>
    <w:lvl w:ilvl="8" w:tentative="0">
      <w:start w:val="1"/>
      <w:numFmt w:val="lowerRoman"/>
      <w:lvlText w:val="%9."/>
      <w:lvlJc w:val="left"/>
      <w:pPr>
        <w:tabs>
          <w:tab w:val="left" w:pos="3240"/>
        </w:tabs>
        <w:ind w:left="3240" w:hanging="360"/>
      </w:pPr>
      <w:rPr>
        <w:rFonts w:hint="eastAsia" w:cs="Times New Roman"/>
      </w:rPr>
    </w:lvl>
  </w:abstractNum>
  <w:abstractNum w:abstractNumId="12">
    <w:nsid w:val="6AC97337"/>
    <w:multiLevelType w:val="multilevel"/>
    <w:tmpl w:val="6AC97337"/>
    <w:lvl w:ilvl="0" w:tentative="0">
      <w:start w:val="1"/>
      <w:numFmt w:val="decimalEnclosedCircle"/>
      <w:lvlText w:val="%1"/>
      <w:lvlJc w:val="left"/>
      <w:pPr>
        <w:ind w:left="1129" w:hanging="420"/>
      </w:pPr>
      <w:rPr>
        <w:rFonts w:hint="eastAsia"/>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13">
    <w:nsid w:val="7293432D"/>
    <w:multiLevelType w:val="multilevel"/>
    <w:tmpl w:val="7293432D"/>
    <w:lvl w:ilvl="0" w:tentative="0">
      <w:start w:val="1"/>
      <w:numFmt w:val="decimalEnclosedCircle"/>
      <w:lvlText w:val="%1"/>
      <w:lvlJc w:val="left"/>
      <w:pPr>
        <w:ind w:left="1860" w:hanging="420"/>
      </w:pPr>
      <w:rPr>
        <w:rFonts w:hint="eastAsia"/>
      </w:rPr>
    </w:lvl>
    <w:lvl w:ilvl="1" w:tentative="0">
      <w:start w:val="1"/>
      <w:numFmt w:val="lowerLetter"/>
      <w:lvlText w:val="%2)"/>
      <w:lvlJc w:val="left"/>
      <w:pPr>
        <w:ind w:left="2280" w:hanging="420"/>
      </w:pPr>
    </w:lvl>
    <w:lvl w:ilvl="2" w:tentative="0">
      <w:start w:val="1"/>
      <w:numFmt w:val="lowerRoman"/>
      <w:lvlText w:val="%3."/>
      <w:lvlJc w:val="right"/>
      <w:pPr>
        <w:ind w:left="2700" w:hanging="420"/>
      </w:pPr>
    </w:lvl>
    <w:lvl w:ilvl="3" w:tentative="0">
      <w:start w:val="1"/>
      <w:numFmt w:val="decimal"/>
      <w:lvlText w:val="%4."/>
      <w:lvlJc w:val="left"/>
      <w:pPr>
        <w:ind w:left="3120" w:hanging="420"/>
      </w:pPr>
    </w:lvl>
    <w:lvl w:ilvl="4" w:tentative="0">
      <w:start w:val="1"/>
      <w:numFmt w:val="lowerLetter"/>
      <w:lvlText w:val="%5)"/>
      <w:lvlJc w:val="left"/>
      <w:pPr>
        <w:ind w:left="3540" w:hanging="420"/>
      </w:pPr>
    </w:lvl>
    <w:lvl w:ilvl="5" w:tentative="0">
      <w:start w:val="1"/>
      <w:numFmt w:val="lowerRoman"/>
      <w:lvlText w:val="%6."/>
      <w:lvlJc w:val="right"/>
      <w:pPr>
        <w:ind w:left="3960" w:hanging="420"/>
      </w:pPr>
    </w:lvl>
    <w:lvl w:ilvl="6" w:tentative="0">
      <w:start w:val="1"/>
      <w:numFmt w:val="decimal"/>
      <w:lvlText w:val="%7."/>
      <w:lvlJc w:val="left"/>
      <w:pPr>
        <w:ind w:left="4380" w:hanging="420"/>
      </w:pPr>
    </w:lvl>
    <w:lvl w:ilvl="7" w:tentative="0">
      <w:start w:val="1"/>
      <w:numFmt w:val="lowerLetter"/>
      <w:lvlText w:val="%8)"/>
      <w:lvlJc w:val="left"/>
      <w:pPr>
        <w:ind w:left="4800" w:hanging="420"/>
      </w:pPr>
    </w:lvl>
    <w:lvl w:ilvl="8" w:tentative="0">
      <w:start w:val="1"/>
      <w:numFmt w:val="lowerRoman"/>
      <w:lvlText w:val="%9."/>
      <w:lvlJc w:val="right"/>
      <w:pPr>
        <w:ind w:left="5220" w:hanging="420"/>
      </w:pPr>
    </w:lvl>
  </w:abstractNum>
  <w:num w:numId="1">
    <w:abstractNumId w:val="0"/>
  </w:num>
  <w:num w:numId="2">
    <w:abstractNumId w:val="3"/>
  </w:num>
  <w:num w:numId="3">
    <w:abstractNumId w:val="4"/>
  </w:num>
  <w:num w:numId="4">
    <w:abstractNumId w:val="6"/>
  </w:num>
  <w:num w:numId="5">
    <w:abstractNumId w:val="9"/>
  </w:num>
  <w:num w:numId="6">
    <w:abstractNumId w:val="13"/>
  </w:num>
  <w:num w:numId="7">
    <w:abstractNumId w:val="12"/>
  </w:num>
  <w:num w:numId="8">
    <w:abstractNumId w:val="2"/>
  </w:num>
  <w:num w:numId="9">
    <w:abstractNumId w:val="8"/>
  </w:num>
  <w:num w:numId="10">
    <w:abstractNumId w:val="10"/>
  </w:num>
  <w:num w:numId="11">
    <w:abstractNumId w:val="5"/>
  </w:num>
  <w:num w:numId="12">
    <w:abstractNumId w:val="7"/>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oNotHyphenateCaps/>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540"/>
    <w:rsid w:val="00000343"/>
    <w:rsid w:val="000006D4"/>
    <w:rsid w:val="00002958"/>
    <w:rsid w:val="00002F1D"/>
    <w:rsid w:val="00003C11"/>
    <w:rsid w:val="00003F74"/>
    <w:rsid w:val="0000410F"/>
    <w:rsid w:val="00004441"/>
    <w:rsid w:val="000048BE"/>
    <w:rsid w:val="00004E2C"/>
    <w:rsid w:val="00004F29"/>
    <w:rsid w:val="0000649D"/>
    <w:rsid w:val="00007129"/>
    <w:rsid w:val="00010A68"/>
    <w:rsid w:val="00013D07"/>
    <w:rsid w:val="000146A5"/>
    <w:rsid w:val="00014D11"/>
    <w:rsid w:val="00015247"/>
    <w:rsid w:val="00015A60"/>
    <w:rsid w:val="00015B92"/>
    <w:rsid w:val="00016749"/>
    <w:rsid w:val="00016D89"/>
    <w:rsid w:val="00016E5A"/>
    <w:rsid w:val="00017C74"/>
    <w:rsid w:val="00017F32"/>
    <w:rsid w:val="00020CD0"/>
    <w:rsid w:val="00020F94"/>
    <w:rsid w:val="000220A2"/>
    <w:rsid w:val="000221A4"/>
    <w:rsid w:val="00022CA1"/>
    <w:rsid w:val="0002309B"/>
    <w:rsid w:val="000230FB"/>
    <w:rsid w:val="000243B8"/>
    <w:rsid w:val="0002557D"/>
    <w:rsid w:val="00025873"/>
    <w:rsid w:val="00025BE0"/>
    <w:rsid w:val="00025BE4"/>
    <w:rsid w:val="000263CC"/>
    <w:rsid w:val="0002767A"/>
    <w:rsid w:val="00030477"/>
    <w:rsid w:val="00031E7E"/>
    <w:rsid w:val="00032AB5"/>
    <w:rsid w:val="0003311D"/>
    <w:rsid w:val="00033385"/>
    <w:rsid w:val="000338CA"/>
    <w:rsid w:val="00034A35"/>
    <w:rsid w:val="000357C8"/>
    <w:rsid w:val="000358B0"/>
    <w:rsid w:val="0003625B"/>
    <w:rsid w:val="00037249"/>
    <w:rsid w:val="0004052B"/>
    <w:rsid w:val="0004081E"/>
    <w:rsid w:val="00040B41"/>
    <w:rsid w:val="00041FD1"/>
    <w:rsid w:val="00043FB4"/>
    <w:rsid w:val="0004408F"/>
    <w:rsid w:val="000442DC"/>
    <w:rsid w:val="00044834"/>
    <w:rsid w:val="00045331"/>
    <w:rsid w:val="000472B4"/>
    <w:rsid w:val="000475CC"/>
    <w:rsid w:val="00047D66"/>
    <w:rsid w:val="00047F9D"/>
    <w:rsid w:val="00050250"/>
    <w:rsid w:val="00051757"/>
    <w:rsid w:val="000525D0"/>
    <w:rsid w:val="000526E5"/>
    <w:rsid w:val="000530DF"/>
    <w:rsid w:val="0005351A"/>
    <w:rsid w:val="00053C1C"/>
    <w:rsid w:val="00053D8A"/>
    <w:rsid w:val="00054573"/>
    <w:rsid w:val="00055096"/>
    <w:rsid w:val="00055CCF"/>
    <w:rsid w:val="00056121"/>
    <w:rsid w:val="000561B6"/>
    <w:rsid w:val="000568EA"/>
    <w:rsid w:val="00056902"/>
    <w:rsid w:val="00056A42"/>
    <w:rsid w:val="00057202"/>
    <w:rsid w:val="000601CB"/>
    <w:rsid w:val="00061071"/>
    <w:rsid w:val="00061E23"/>
    <w:rsid w:val="00062B83"/>
    <w:rsid w:val="00063315"/>
    <w:rsid w:val="00063626"/>
    <w:rsid w:val="00064AED"/>
    <w:rsid w:val="000669F0"/>
    <w:rsid w:val="00066BB3"/>
    <w:rsid w:val="00066CA8"/>
    <w:rsid w:val="0006760C"/>
    <w:rsid w:val="0007252A"/>
    <w:rsid w:val="00072C31"/>
    <w:rsid w:val="000732BF"/>
    <w:rsid w:val="000736CC"/>
    <w:rsid w:val="00073D9E"/>
    <w:rsid w:val="0007472D"/>
    <w:rsid w:val="00074F44"/>
    <w:rsid w:val="000767F6"/>
    <w:rsid w:val="00077C8D"/>
    <w:rsid w:val="00077DB8"/>
    <w:rsid w:val="00080034"/>
    <w:rsid w:val="000817AB"/>
    <w:rsid w:val="000817F4"/>
    <w:rsid w:val="000819D3"/>
    <w:rsid w:val="0008201D"/>
    <w:rsid w:val="000830C7"/>
    <w:rsid w:val="0008373E"/>
    <w:rsid w:val="00084C29"/>
    <w:rsid w:val="00084E62"/>
    <w:rsid w:val="00085AB7"/>
    <w:rsid w:val="00085DED"/>
    <w:rsid w:val="00085E3D"/>
    <w:rsid w:val="00085E94"/>
    <w:rsid w:val="000861EB"/>
    <w:rsid w:val="0008672E"/>
    <w:rsid w:val="00086991"/>
    <w:rsid w:val="00087B9C"/>
    <w:rsid w:val="0009086B"/>
    <w:rsid w:val="000915EE"/>
    <w:rsid w:val="00091F69"/>
    <w:rsid w:val="0009253A"/>
    <w:rsid w:val="00094E7A"/>
    <w:rsid w:val="000950FB"/>
    <w:rsid w:val="000951D9"/>
    <w:rsid w:val="00096419"/>
    <w:rsid w:val="00097336"/>
    <w:rsid w:val="000A005C"/>
    <w:rsid w:val="000A0C12"/>
    <w:rsid w:val="000A222B"/>
    <w:rsid w:val="000A230F"/>
    <w:rsid w:val="000A2767"/>
    <w:rsid w:val="000A348C"/>
    <w:rsid w:val="000A4211"/>
    <w:rsid w:val="000A4CD4"/>
    <w:rsid w:val="000A4D87"/>
    <w:rsid w:val="000A57B9"/>
    <w:rsid w:val="000A5FB7"/>
    <w:rsid w:val="000A626A"/>
    <w:rsid w:val="000A6B50"/>
    <w:rsid w:val="000A6C29"/>
    <w:rsid w:val="000A7793"/>
    <w:rsid w:val="000A7E39"/>
    <w:rsid w:val="000B2469"/>
    <w:rsid w:val="000B3A02"/>
    <w:rsid w:val="000B5052"/>
    <w:rsid w:val="000B53A9"/>
    <w:rsid w:val="000B5DE3"/>
    <w:rsid w:val="000B60D8"/>
    <w:rsid w:val="000B68B3"/>
    <w:rsid w:val="000B7C5B"/>
    <w:rsid w:val="000B7DB2"/>
    <w:rsid w:val="000C05C7"/>
    <w:rsid w:val="000C138F"/>
    <w:rsid w:val="000C179D"/>
    <w:rsid w:val="000C25DB"/>
    <w:rsid w:val="000C36FC"/>
    <w:rsid w:val="000C3C8E"/>
    <w:rsid w:val="000C456B"/>
    <w:rsid w:val="000C5901"/>
    <w:rsid w:val="000C617F"/>
    <w:rsid w:val="000C70ED"/>
    <w:rsid w:val="000C761F"/>
    <w:rsid w:val="000C78BE"/>
    <w:rsid w:val="000D01FC"/>
    <w:rsid w:val="000D1B6E"/>
    <w:rsid w:val="000D2E2D"/>
    <w:rsid w:val="000D587D"/>
    <w:rsid w:val="000D67F1"/>
    <w:rsid w:val="000D6E57"/>
    <w:rsid w:val="000D783A"/>
    <w:rsid w:val="000D7CFF"/>
    <w:rsid w:val="000E08CB"/>
    <w:rsid w:val="000E09C7"/>
    <w:rsid w:val="000E1876"/>
    <w:rsid w:val="000E1F7E"/>
    <w:rsid w:val="000E2FA8"/>
    <w:rsid w:val="000E31BA"/>
    <w:rsid w:val="000E532D"/>
    <w:rsid w:val="000E5684"/>
    <w:rsid w:val="000E60B1"/>
    <w:rsid w:val="000E6D0F"/>
    <w:rsid w:val="000E7792"/>
    <w:rsid w:val="000E7ED1"/>
    <w:rsid w:val="000F1C97"/>
    <w:rsid w:val="000F1F3D"/>
    <w:rsid w:val="000F1FBF"/>
    <w:rsid w:val="000F2C57"/>
    <w:rsid w:val="000F2D48"/>
    <w:rsid w:val="000F2F0B"/>
    <w:rsid w:val="000F302A"/>
    <w:rsid w:val="000F3ACE"/>
    <w:rsid w:val="000F4173"/>
    <w:rsid w:val="000F4A4D"/>
    <w:rsid w:val="000F4C33"/>
    <w:rsid w:val="000F4CD7"/>
    <w:rsid w:val="000F51B1"/>
    <w:rsid w:val="000F5384"/>
    <w:rsid w:val="000F56DE"/>
    <w:rsid w:val="000F67CC"/>
    <w:rsid w:val="000F73C9"/>
    <w:rsid w:val="00100DC6"/>
    <w:rsid w:val="00101BE8"/>
    <w:rsid w:val="00102C0C"/>
    <w:rsid w:val="00103981"/>
    <w:rsid w:val="00103B9B"/>
    <w:rsid w:val="00104A9C"/>
    <w:rsid w:val="00104ABD"/>
    <w:rsid w:val="00104F23"/>
    <w:rsid w:val="0010539A"/>
    <w:rsid w:val="00105FC4"/>
    <w:rsid w:val="00106F5C"/>
    <w:rsid w:val="001076B1"/>
    <w:rsid w:val="00107FC9"/>
    <w:rsid w:val="0011033F"/>
    <w:rsid w:val="00110C70"/>
    <w:rsid w:val="00111759"/>
    <w:rsid w:val="00111D8D"/>
    <w:rsid w:val="00112F53"/>
    <w:rsid w:val="00113175"/>
    <w:rsid w:val="00113289"/>
    <w:rsid w:val="00114B02"/>
    <w:rsid w:val="001153FC"/>
    <w:rsid w:val="00116964"/>
    <w:rsid w:val="00116C74"/>
    <w:rsid w:val="001171B3"/>
    <w:rsid w:val="00117737"/>
    <w:rsid w:val="00120C75"/>
    <w:rsid w:val="001215AD"/>
    <w:rsid w:val="001218AC"/>
    <w:rsid w:val="00122003"/>
    <w:rsid w:val="0012206E"/>
    <w:rsid w:val="00122F5C"/>
    <w:rsid w:val="00123D82"/>
    <w:rsid w:val="00124028"/>
    <w:rsid w:val="00124802"/>
    <w:rsid w:val="00125F0A"/>
    <w:rsid w:val="00126D3D"/>
    <w:rsid w:val="00126E74"/>
    <w:rsid w:val="001305B1"/>
    <w:rsid w:val="00130DE5"/>
    <w:rsid w:val="00131751"/>
    <w:rsid w:val="00131CD5"/>
    <w:rsid w:val="00131E0E"/>
    <w:rsid w:val="0013220C"/>
    <w:rsid w:val="0013358C"/>
    <w:rsid w:val="00133EF0"/>
    <w:rsid w:val="00133F50"/>
    <w:rsid w:val="00134CDC"/>
    <w:rsid w:val="00135001"/>
    <w:rsid w:val="00135CB3"/>
    <w:rsid w:val="00137394"/>
    <w:rsid w:val="00137590"/>
    <w:rsid w:val="00140016"/>
    <w:rsid w:val="00140151"/>
    <w:rsid w:val="00140220"/>
    <w:rsid w:val="001402AB"/>
    <w:rsid w:val="001410E6"/>
    <w:rsid w:val="0014132C"/>
    <w:rsid w:val="0014204B"/>
    <w:rsid w:val="0014256B"/>
    <w:rsid w:val="00143F44"/>
    <w:rsid w:val="00144342"/>
    <w:rsid w:val="00144507"/>
    <w:rsid w:val="0014450F"/>
    <w:rsid w:val="0014585E"/>
    <w:rsid w:val="001460E7"/>
    <w:rsid w:val="00146577"/>
    <w:rsid w:val="0014666D"/>
    <w:rsid w:val="001466D1"/>
    <w:rsid w:val="00147D80"/>
    <w:rsid w:val="00150A66"/>
    <w:rsid w:val="00151DB5"/>
    <w:rsid w:val="00152A09"/>
    <w:rsid w:val="001539E6"/>
    <w:rsid w:val="001549FE"/>
    <w:rsid w:val="00154F58"/>
    <w:rsid w:val="0015506F"/>
    <w:rsid w:val="00155A64"/>
    <w:rsid w:val="0015628E"/>
    <w:rsid w:val="001565DE"/>
    <w:rsid w:val="00156A47"/>
    <w:rsid w:val="00156AC0"/>
    <w:rsid w:val="001575F8"/>
    <w:rsid w:val="0015778D"/>
    <w:rsid w:val="001610BC"/>
    <w:rsid w:val="00161FE4"/>
    <w:rsid w:val="001627A7"/>
    <w:rsid w:val="00162CE6"/>
    <w:rsid w:val="00162E37"/>
    <w:rsid w:val="00165341"/>
    <w:rsid w:val="00167753"/>
    <w:rsid w:val="00167ABA"/>
    <w:rsid w:val="00167D90"/>
    <w:rsid w:val="00170390"/>
    <w:rsid w:val="001703CA"/>
    <w:rsid w:val="001707FF"/>
    <w:rsid w:val="00170ED3"/>
    <w:rsid w:val="001736A7"/>
    <w:rsid w:val="00175216"/>
    <w:rsid w:val="00175A58"/>
    <w:rsid w:val="0017635A"/>
    <w:rsid w:val="00176742"/>
    <w:rsid w:val="0017698C"/>
    <w:rsid w:val="00176E27"/>
    <w:rsid w:val="00176F83"/>
    <w:rsid w:val="00176FF5"/>
    <w:rsid w:val="001772D1"/>
    <w:rsid w:val="001778D7"/>
    <w:rsid w:val="00180450"/>
    <w:rsid w:val="00180F8E"/>
    <w:rsid w:val="001811AF"/>
    <w:rsid w:val="00181465"/>
    <w:rsid w:val="00181721"/>
    <w:rsid w:val="00182BD3"/>
    <w:rsid w:val="0018320A"/>
    <w:rsid w:val="0018383A"/>
    <w:rsid w:val="00184939"/>
    <w:rsid w:val="00184EAD"/>
    <w:rsid w:val="001851CC"/>
    <w:rsid w:val="00186557"/>
    <w:rsid w:val="00186AB4"/>
    <w:rsid w:val="001873D8"/>
    <w:rsid w:val="001902A8"/>
    <w:rsid w:val="001904AB"/>
    <w:rsid w:val="00190CFC"/>
    <w:rsid w:val="001914BE"/>
    <w:rsid w:val="0019181D"/>
    <w:rsid w:val="0019214E"/>
    <w:rsid w:val="001928D7"/>
    <w:rsid w:val="00192A1E"/>
    <w:rsid w:val="00192FF7"/>
    <w:rsid w:val="001939EE"/>
    <w:rsid w:val="001942E8"/>
    <w:rsid w:val="00194491"/>
    <w:rsid w:val="001944A0"/>
    <w:rsid w:val="001959B2"/>
    <w:rsid w:val="00195C3F"/>
    <w:rsid w:val="00197037"/>
    <w:rsid w:val="001977D3"/>
    <w:rsid w:val="00197909"/>
    <w:rsid w:val="001A1CF8"/>
    <w:rsid w:val="001A1E25"/>
    <w:rsid w:val="001A2622"/>
    <w:rsid w:val="001A5039"/>
    <w:rsid w:val="001A553D"/>
    <w:rsid w:val="001A5C8A"/>
    <w:rsid w:val="001A63E8"/>
    <w:rsid w:val="001A6DE1"/>
    <w:rsid w:val="001A7024"/>
    <w:rsid w:val="001A7F7A"/>
    <w:rsid w:val="001B13BB"/>
    <w:rsid w:val="001B147C"/>
    <w:rsid w:val="001B3054"/>
    <w:rsid w:val="001B3FD7"/>
    <w:rsid w:val="001B406D"/>
    <w:rsid w:val="001B5700"/>
    <w:rsid w:val="001B5A29"/>
    <w:rsid w:val="001B6635"/>
    <w:rsid w:val="001B714B"/>
    <w:rsid w:val="001B7F96"/>
    <w:rsid w:val="001C0B96"/>
    <w:rsid w:val="001C0D46"/>
    <w:rsid w:val="001C0EF5"/>
    <w:rsid w:val="001C2260"/>
    <w:rsid w:val="001C2979"/>
    <w:rsid w:val="001C2B59"/>
    <w:rsid w:val="001C361C"/>
    <w:rsid w:val="001C5C03"/>
    <w:rsid w:val="001C5CF4"/>
    <w:rsid w:val="001C6AC3"/>
    <w:rsid w:val="001C7404"/>
    <w:rsid w:val="001C7C6C"/>
    <w:rsid w:val="001D1857"/>
    <w:rsid w:val="001D32FA"/>
    <w:rsid w:val="001D3B18"/>
    <w:rsid w:val="001D4F5B"/>
    <w:rsid w:val="001D50FA"/>
    <w:rsid w:val="001D6057"/>
    <w:rsid w:val="001D69E0"/>
    <w:rsid w:val="001D731A"/>
    <w:rsid w:val="001D7478"/>
    <w:rsid w:val="001E2077"/>
    <w:rsid w:val="001E2D71"/>
    <w:rsid w:val="001E4248"/>
    <w:rsid w:val="001E429D"/>
    <w:rsid w:val="001E4385"/>
    <w:rsid w:val="001E43A6"/>
    <w:rsid w:val="001E46D5"/>
    <w:rsid w:val="001E4EF5"/>
    <w:rsid w:val="001E52C1"/>
    <w:rsid w:val="001E6187"/>
    <w:rsid w:val="001E687A"/>
    <w:rsid w:val="001E6FE9"/>
    <w:rsid w:val="001E7052"/>
    <w:rsid w:val="001E756B"/>
    <w:rsid w:val="001E788E"/>
    <w:rsid w:val="001E7F0D"/>
    <w:rsid w:val="001F18FE"/>
    <w:rsid w:val="001F24BD"/>
    <w:rsid w:val="001F3033"/>
    <w:rsid w:val="001F3D3A"/>
    <w:rsid w:val="001F5228"/>
    <w:rsid w:val="001F602B"/>
    <w:rsid w:val="001F6D10"/>
    <w:rsid w:val="001F6E28"/>
    <w:rsid w:val="001F7BDD"/>
    <w:rsid w:val="001F7C84"/>
    <w:rsid w:val="00200C80"/>
    <w:rsid w:val="00201F56"/>
    <w:rsid w:val="002022FD"/>
    <w:rsid w:val="0020454E"/>
    <w:rsid w:val="00204709"/>
    <w:rsid w:val="0020486F"/>
    <w:rsid w:val="00206288"/>
    <w:rsid w:val="002066D6"/>
    <w:rsid w:val="00206C4A"/>
    <w:rsid w:val="00206D58"/>
    <w:rsid w:val="00206DF0"/>
    <w:rsid w:val="0020723A"/>
    <w:rsid w:val="002078C3"/>
    <w:rsid w:val="00207AB6"/>
    <w:rsid w:val="00210938"/>
    <w:rsid w:val="00211687"/>
    <w:rsid w:val="00213BA1"/>
    <w:rsid w:val="00213EF6"/>
    <w:rsid w:val="0021415D"/>
    <w:rsid w:val="0021457B"/>
    <w:rsid w:val="00214875"/>
    <w:rsid w:val="00214C74"/>
    <w:rsid w:val="00215C2D"/>
    <w:rsid w:val="00216A09"/>
    <w:rsid w:val="00216D1B"/>
    <w:rsid w:val="00217FC3"/>
    <w:rsid w:val="002205A1"/>
    <w:rsid w:val="00220A56"/>
    <w:rsid w:val="0022129C"/>
    <w:rsid w:val="00222FAA"/>
    <w:rsid w:val="0022352B"/>
    <w:rsid w:val="0022358A"/>
    <w:rsid w:val="00224127"/>
    <w:rsid w:val="002247FD"/>
    <w:rsid w:val="00224F48"/>
    <w:rsid w:val="0022576C"/>
    <w:rsid w:val="00225C6B"/>
    <w:rsid w:val="00227666"/>
    <w:rsid w:val="0023087C"/>
    <w:rsid w:val="002319F3"/>
    <w:rsid w:val="00231F91"/>
    <w:rsid w:val="0023213C"/>
    <w:rsid w:val="00232272"/>
    <w:rsid w:val="002323F9"/>
    <w:rsid w:val="00232F4D"/>
    <w:rsid w:val="002333D8"/>
    <w:rsid w:val="002336DE"/>
    <w:rsid w:val="002349EF"/>
    <w:rsid w:val="002362D4"/>
    <w:rsid w:val="002365B1"/>
    <w:rsid w:val="00237293"/>
    <w:rsid w:val="00237319"/>
    <w:rsid w:val="002373D6"/>
    <w:rsid w:val="00242543"/>
    <w:rsid w:val="00242D99"/>
    <w:rsid w:val="00242F06"/>
    <w:rsid w:val="002434EB"/>
    <w:rsid w:val="00244770"/>
    <w:rsid w:val="00244E45"/>
    <w:rsid w:val="0024737C"/>
    <w:rsid w:val="002479D1"/>
    <w:rsid w:val="00247A55"/>
    <w:rsid w:val="00251B0B"/>
    <w:rsid w:val="00251B65"/>
    <w:rsid w:val="00252E6E"/>
    <w:rsid w:val="002537E1"/>
    <w:rsid w:val="0025400A"/>
    <w:rsid w:val="002540F1"/>
    <w:rsid w:val="002546CC"/>
    <w:rsid w:val="00254DB2"/>
    <w:rsid w:val="00255813"/>
    <w:rsid w:val="00261B1E"/>
    <w:rsid w:val="00261F4D"/>
    <w:rsid w:val="002621D8"/>
    <w:rsid w:val="00262E1D"/>
    <w:rsid w:val="00264030"/>
    <w:rsid w:val="00264171"/>
    <w:rsid w:val="002657D8"/>
    <w:rsid w:val="002658BD"/>
    <w:rsid w:val="0026646A"/>
    <w:rsid w:val="00267789"/>
    <w:rsid w:val="00267C54"/>
    <w:rsid w:val="00271DFF"/>
    <w:rsid w:val="0027229D"/>
    <w:rsid w:val="002724C8"/>
    <w:rsid w:val="00272947"/>
    <w:rsid w:val="002738CB"/>
    <w:rsid w:val="00274055"/>
    <w:rsid w:val="002744D1"/>
    <w:rsid w:val="00274BB4"/>
    <w:rsid w:val="00275021"/>
    <w:rsid w:val="00275AC5"/>
    <w:rsid w:val="00275D5A"/>
    <w:rsid w:val="002766BB"/>
    <w:rsid w:val="00280056"/>
    <w:rsid w:val="00280D83"/>
    <w:rsid w:val="002811C0"/>
    <w:rsid w:val="0028228A"/>
    <w:rsid w:val="002823DA"/>
    <w:rsid w:val="00283060"/>
    <w:rsid w:val="00283193"/>
    <w:rsid w:val="002834C7"/>
    <w:rsid w:val="0028386A"/>
    <w:rsid w:val="00283ED6"/>
    <w:rsid w:val="00284C95"/>
    <w:rsid w:val="00284E39"/>
    <w:rsid w:val="00285521"/>
    <w:rsid w:val="00286B93"/>
    <w:rsid w:val="002872FB"/>
    <w:rsid w:val="00287555"/>
    <w:rsid w:val="002878F3"/>
    <w:rsid w:val="00290107"/>
    <w:rsid w:val="00290423"/>
    <w:rsid w:val="00290DE6"/>
    <w:rsid w:val="00291BF2"/>
    <w:rsid w:val="00292220"/>
    <w:rsid w:val="00292EC9"/>
    <w:rsid w:val="00293190"/>
    <w:rsid w:val="00293EAF"/>
    <w:rsid w:val="002949C1"/>
    <w:rsid w:val="00295077"/>
    <w:rsid w:val="002950BF"/>
    <w:rsid w:val="00296E14"/>
    <w:rsid w:val="002970EC"/>
    <w:rsid w:val="00297782"/>
    <w:rsid w:val="00297B71"/>
    <w:rsid w:val="00297FC8"/>
    <w:rsid w:val="002A02E4"/>
    <w:rsid w:val="002A0B5D"/>
    <w:rsid w:val="002A0B90"/>
    <w:rsid w:val="002A1111"/>
    <w:rsid w:val="002A1396"/>
    <w:rsid w:val="002A15C4"/>
    <w:rsid w:val="002A1929"/>
    <w:rsid w:val="002A1AAB"/>
    <w:rsid w:val="002A1D4B"/>
    <w:rsid w:val="002A1FC5"/>
    <w:rsid w:val="002A366B"/>
    <w:rsid w:val="002A39A4"/>
    <w:rsid w:val="002A3D58"/>
    <w:rsid w:val="002A3FD4"/>
    <w:rsid w:val="002A4773"/>
    <w:rsid w:val="002A5DD7"/>
    <w:rsid w:val="002A6B53"/>
    <w:rsid w:val="002A6C89"/>
    <w:rsid w:val="002A6EB9"/>
    <w:rsid w:val="002B046B"/>
    <w:rsid w:val="002B08E4"/>
    <w:rsid w:val="002B1AD8"/>
    <w:rsid w:val="002B1CD5"/>
    <w:rsid w:val="002B231B"/>
    <w:rsid w:val="002B24AA"/>
    <w:rsid w:val="002B289F"/>
    <w:rsid w:val="002B2E57"/>
    <w:rsid w:val="002B3AFF"/>
    <w:rsid w:val="002B6774"/>
    <w:rsid w:val="002B6B48"/>
    <w:rsid w:val="002B7322"/>
    <w:rsid w:val="002B7DCE"/>
    <w:rsid w:val="002B7FB0"/>
    <w:rsid w:val="002C0894"/>
    <w:rsid w:val="002C0B8D"/>
    <w:rsid w:val="002C11C2"/>
    <w:rsid w:val="002C16EF"/>
    <w:rsid w:val="002C2C0E"/>
    <w:rsid w:val="002C3557"/>
    <w:rsid w:val="002C3CE9"/>
    <w:rsid w:val="002C78F7"/>
    <w:rsid w:val="002D0001"/>
    <w:rsid w:val="002D019A"/>
    <w:rsid w:val="002D0745"/>
    <w:rsid w:val="002D255A"/>
    <w:rsid w:val="002D25F8"/>
    <w:rsid w:val="002D2E2B"/>
    <w:rsid w:val="002D3287"/>
    <w:rsid w:val="002D3CA6"/>
    <w:rsid w:val="002D6570"/>
    <w:rsid w:val="002D71A0"/>
    <w:rsid w:val="002D7593"/>
    <w:rsid w:val="002D778E"/>
    <w:rsid w:val="002D7B71"/>
    <w:rsid w:val="002D7D69"/>
    <w:rsid w:val="002D7DC1"/>
    <w:rsid w:val="002E007E"/>
    <w:rsid w:val="002E03FF"/>
    <w:rsid w:val="002E05DC"/>
    <w:rsid w:val="002E07AE"/>
    <w:rsid w:val="002E0F3C"/>
    <w:rsid w:val="002E40FF"/>
    <w:rsid w:val="002E4536"/>
    <w:rsid w:val="002E45CF"/>
    <w:rsid w:val="002E5A5E"/>
    <w:rsid w:val="002E5F74"/>
    <w:rsid w:val="002E7104"/>
    <w:rsid w:val="002E7712"/>
    <w:rsid w:val="002F098C"/>
    <w:rsid w:val="002F0D33"/>
    <w:rsid w:val="002F237F"/>
    <w:rsid w:val="002F3677"/>
    <w:rsid w:val="002F3A98"/>
    <w:rsid w:val="002F3F76"/>
    <w:rsid w:val="002F437F"/>
    <w:rsid w:val="002F44E5"/>
    <w:rsid w:val="002F4CD2"/>
    <w:rsid w:val="002F5351"/>
    <w:rsid w:val="002F6790"/>
    <w:rsid w:val="002F68BB"/>
    <w:rsid w:val="002F70A9"/>
    <w:rsid w:val="003009F1"/>
    <w:rsid w:val="00300F97"/>
    <w:rsid w:val="0030146D"/>
    <w:rsid w:val="003030CE"/>
    <w:rsid w:val="0030391E"/>
    <w:rsid w:val="00304091"/>
    <w:rsid w:val="00304AB2"/>
    <w:rsid w:val="00304D57"/>
    <w:rsid w:val="0030565F"/>
    <w:rsid w:val="0030612A"/>
    <w:rsid w:val="00306364"/>
    <w:rsid w:val="00306CAE"/>
    <w:rsid w:val="00306CB7"/>
    <w:rsid w:val="0030780F"/>
    <w:rsid w:val="00307821"/>
    <w:rsid w:val="0031149E"/>
    <w:rsid w:val="00313C81"/>
    <w:rsid w:val="0031401D"/>
    <w:rsid w:val="003165EE"/>
    <w:rsid w:val="00316636"/>
    <w:rsid w:val="00316711"/>
    <w:rsid w:val="00316895"/>
    <w:rsid w:val="00317390"/>
    <w:rsid w:val="00317AD1"/>
    <w:rsid w:val="00320953"/>
    <w:rsid w:val="003219B4"/>
    <w:rsid w:val="00322812"/>
    <w:rsid w:val="00322892"/>
    <w:rsid w:val="00325A9D"/>
    <w:rsid w:val="00326B85"/>
    <w:rsid w:val="00327629"/>
    <w:rsid w:val="003312A0"/>
    <w:rsid w:val="00331667"/>
    <w:rsid w:val="0033198B"/>
    <w:rsid w:val="003331C5"/>
    <w:rsid w:val="003342AF"/>
    <w:rsid w:val="00334684"/>
    <w:rsid w:val="003348E7"/>
    <w:rsid w:val="00334F38"/>
    <w:rsid w:val="00335E72"/>
    <w:rsid w:val="003375A2"/>
    <w:rsid w:val="00340573"/>
    <w:rsid w:val="00341744"/>
    <w:rsid w:val="00341A4B"/>
    <w:rsid w:val="0034235B"/>
    <w:rsid w:val="003427C4"/>
    <w:rsid w:val="00342952"/>
    <w:rsid w:val="00343CA2"/>
    <w:rsid w:val="00346462"/>
    <w:rsid w:val="00346B0F"/>
    <w:rsid w:val="00347D6F"/>
    <w:rsid w:val="00347E2A"/>
    <w:rsid w:val="0035000E"/>
    <w:rsid w:val="0035026E"/>
    <w:rsid w:val="0035085D"/>
    <w:rsid w:val="00350F1C"/>
    <w:rsid w:val="003513AC"/>
    <w:rsid w:val="0035319F"/>
    <w:rsid w:val="00353DDF"/>
    <w:rsid w:val="003540A7"/>
    <w:rsid w:val="0035458E"/>
    <w:rsid w:val="00354AAC"/>
    <w:rsid w:val="003550D9"/>
    <w:rsid w:val="0035550F"/>
    <w:rsid w:val="00355D31"/>
    <w:rsid w:val="003569F6"/>
    <w:rsid w:val="00356BB6"/>
    <w:rsid w:val="00356BCD"/>
    <w:rsid w:val="00357044"/>
    <w:rsid w:val="00357047"/>
    <w:rsid w:val="00357A3D"/>
    <w:rsid w:val="0036130D"/>
    <w:rsid w:val="00361F0F"/>
    <w:rsid w:val="003620DB"/>
    <w:rsid w:val="00362A2E"/>
    <w:rsid w:val="003637B5"/>
    <w:rsid w:val="00363B9C"/>
    <w:rsid w:val="00366F1C"/>
    <w:rsid w:val="00367009"/>
    <w:rsid w:val="00367509"/>
    <w:rsid w:val="003678DD"/>
    <w:rsid w:val="00367F3D"/>
    <w:rsid w:val="00370311"/>
    <w:rsid w:val="00370496"/>
    <w:rsid w:val="00370B9E"/>
    <w:rsid w:val="00370CE8"/>
    <w:rsid w:val="003722C1"/>
    <w:rsid w:val="00372400"/>
    <w:rsid w:val="003726B5"/>
    <w:rsid w:val="003743BC"/>
    <w:rsid w:val="00374678"/>
    <w:rsid w:val="00374DF5"/>
    <w:rsid w:val="0037514B"/>
    <w:rsid w:val="00375D13"/>
    <w:rsid w:val="00376DAF"/>
    <w:rsid w:val="003805B1"/>
    <w:rsid w:val="00380B69"/>
    <w:rsid w:val="003816AC"/>
    <w:rsid w:val="00381CEF"/>
    <w:rsid w:val="00382648"/>
    <w:rsid w:val="003839B1"/>
    <w:rsid w:val="0038457A"/>
    <w:rsid w:val="00385910"/>
    <w:rsid w:val="00386219"/>
    <w:rsid w:val="00386557"/>
    <w:rsid w:val="00386AEC"/>
    <w:rsid w:val="00387011"/>
    <w:rsid w:val="0038784F"/>
    <w:rsid w:val="00387FA4"/>
    <w:rsid w:val="00392179"/>
    <w:rsid w:val="00394347"/>
    <w:rsid w:val="00396B8A"/>
    <w:rsid w:val="00396C8F"/>
    <w:rsid w:val="003975E9"/>
    <w:rsid w:val="00397CB8"/>
    <w:rsid w:val="003A0400"/>
    <w:rsid w:val="003A1936"/>
    <w:rsid w:val="003A1C8C"/>
    <w:rsid w:val="003A22F8"/>
    <w:rsid w:val="003A26A5"/>
    <w:rsid w:val="003A3BF2"/>
    <w:rsid w:val="003A4043"/>
    <w:rsid w:val="003A4458"/>
    <w:rsid w:val="003A453B"/>
    <w:rsid w:val="003A485C"/>
    <w:rsid w:val="003A4D2D"/>
    <w:rsid w:val="003A4F6A"/>
    <w:rsid w:val="003A5760"/>
    <w:rsid w:val="003A6951"/>
    <w:rsid w:val="003A6C2A"/>
    <w:rsid w:val="003A7FA2"/>
    <w:rsid w:val="003B02C8"/>
    <w:rsid w:val="003B08A6"/>
    <w:rsid w:val="003B189B"/>
    <w:rsid w:val="003B1A5A"/>
    <w:rsid w:val="003B221B"/>
    <w:rsid w:val="003B2E1F"/>
    <w:rsid w:val="003B35C8"/>
    <w:rsid w:val="003B47BD"/>
    <w:rsid w:val="003B60BA"/>
    <w:rsid w:val="003B64C9"/>
    <w:rsid w:val="003B6A14"/>
    <w:rsid w:val="003B6EC4"/>
    <w:rsid w:val="003B7A04"/>
    <w:rsid w:val="003B7E07"/>
    <w:rsid w:val="003B7FA8"/>
    <w:rsid w:val="003C0148"/>
    <w:rsid w:val="003C0F1B"/>
    <w:rsid w:val="003C1F76"/>
    <w:rsid w:val="003C26FD"/>
    <w:rsid w:val="003C2A04"/>
    <w:rsid w:val="003C2D91"/>
    <w:rsid w:val="003C5AC6"/>
    <w:rsid w:val="003C5F5F"/>
    <w:rsid w:val="003C788C"/>
    <w:rsid w:val="003D107C"/>
    <w:rsid w:val="003D1606"/>
    <w:rsid w:val="003D17DA"/>
    <w:rsid w:val="003D1EB6"/>
    <w:rsid w:val="003D23F1"/>
    <w:rsid w:val="003D2931"/>
    <w:rsid w:val="003D3448"/>
    <w:rsid w:val="003D4316"/>
    <w:rsid w:val="003D5BBE"/>
    <w:rsid w:val="003D5F54"/>
    <w:rsid w:val="003D6FF9"/>
    <w:rsid w:val="003E01A2"/>
    <w:rsid w:val="003E0AC8"/>
    <w:rsid w:val="003E0CE5"/>
    <w:rsid w:val="003E2266"/>
    <w:rsid w:val="003E2363"/>
    <w:rsid w:val="003E30D5"/>
    <w:rsid w:val="003E33E6"/>
    <w:rsid w:val="003E5627"/>
    <w:rsid w:val="003E701E"/>
    <w:rsid w:val="003F01B5"/>
    <w:rsid w:val="003F1E02"/>
    <w:rsid w:val="003F39C6"/>
    <w:rsid w:val="003F3BB6"/>
    <w:rsid w:val="003F4540"/>
    <w:rsid w:val="003F47B8"/>
    <w:rsid w:val="003F4A4A"/>
    <w:rsid w:val="003F4DB8"/>
    <w:rsid w:val="003F51DF"/>
    <w:rsid w:val="003F717A"/>
    <w:rsid w:val="003F7676"/>
    <w:rsid w:val="003F7D6C"/>
    <w:rsid w:val="00400EC9"/>
    <w:rsid w:val="0040166A"/>
    <w:rsid w:val="00401AD1"/>
    <w:rsid w:val="00402850"/>
    <w:rsid w:val="0040474E"/>
    <w:rsid w:val="00405B8D"/>
    <w:rsid w:val="004070C4"/>
    <w:rsid w:val="00407356"/>
    <w:rsid w:val="00410EF6"/>
    <w:rsid w:val="0041216A"/>
    <w:rsid w:val="004122A5"/>
    <w:rsid w:val="00412AFD"/>
    <w:rsid w:val="00412D6F"/>
    <w:rsid w:val="00413E5C"/>
    <w:rsid w:val="0041450D"/>
    <w:rsid w:val="004146AA"/>
    <w:rsid w:val="00414963"/>
    <w:rsid w:val="0041497C"/>
    <w:rsid w:val="00414EF6"/>
    <w:rsid w:val="004151CE"/>
    <w:rsid w:val="004158AB"/>
    <w:rsid w:val="00415995"/>
    <w:rsid w:val="00415C74"/>
    <w:rsid w:val="00417391"/>
    <w:rsid w:val="0042187D"/>
    <w:rsid w:val="004218B7"/>
    <w:rsid w:val="00421B29"/>
    <w:rsid w:val="00421CB3"/>
    <w:rsid w:val="00421D4C"/>
    <w:rsid w:val="00422DAE"/>
    <w:rsid w:val="004239CE"/>
    <w:rsid w:val="00423DC9"/>
    <w:rsid w:val="00423F20"/>
    <w:rsid w:val="0042432B"/>
    <w:rsid w:val="004243E8"/>
    <w:rsid w:val="00424AE3"/>
    <w:rsid w:val="00425223"/>
    <w:rsid w:val="004253A4"/>
    <w:rsid w:val="004259FE"/>
    <w:rsid w:val="00425EA9"/>
    <w:rsid w:val="00426631"/>
    <w:rsid w:val="00426EDB"/>
    <w:rsid w:val="0042710E"/>
    <w:rsid w:val="0043007F"/>
    <w:rsid w:val="0043144B"/>
    <w:rsid w:val="00431826"/>
    <w:rsid w:val="00431B4E"/>
    <w:rsid w:val="004322D7"/>
    <w:rsid w:val="00433A74"/>
    <w:rsid w:val="004340EE"/>
    <w:rsid w:val="00434178"/>
    <w:rsid w:val="00434454"/>
    <w:rsid w:val="00434728"/>
    <w:rsid w:val="00434C6F"/>
    <w:rsid w:val="00435897"/>
    <w:rsid w:val="00435983"/>
    <w:rsid w:val="00440B7E"/>
    <w:rsid w:val="00442936"/>
    <w:rsid w:val="00442D12"/>
    <w:rsid w:val="00443425"/>
    <w:rsid w:val="00443A52"/>
    <w:rsid w:val="00443E15"/>
    <w:rsid w:val="00446F9A"/>
    <w:rsid w:val="00447474"/>
    <w:rsid w:val="00447690"/>
    <w:rsid w:val="0045017E"/>
    <w:rsid w:val="00450647"/>
    <w:rsid w:val="00450B33"/>
    <w:rsid w:val="00450B82"/>
    <w:rsid w:val="004510B7"/>
    <w:rsid w:val="004513D4"/>
    <w:rsid w:val="004513D6"/>
    <w:rsid w:val="00452048"/>
    <w:rsid w:val="00455847"/>
    <w:rsid w:val="00455DDE"/>
    <w:rsid w:val="00456AA0"/>
    <w:rsid w:val="00456FCA"/>
    <w:rsid w:val="00457085"/>
    <w:rsid w:val="00457405"/>
    <w:rsid w:val="0046033D"/>
    <w:rsid w:val="0046048D"/>
    <w:rsid w:val="00460AC9"/>
    <w:rsid w:val="00460DBD"/>
    <w:rsid w:val="0046170E"/>
    <w:rsid w:val="004620D7"/>
    <w:rsid w:val="00462D9F"/>
    <w:rsid w:val="00462DC0"/>
    <w:rsid w:val="004636AB"/>
    <w:rsid w:val="00463E3D"/>
    <w:rsid w:val="00463E43"/>
    <w:rsid w:val="00464C85"/>
    <w:rsid w:val="00465224"/>
    <w:rsid w:val="004653A6"/>
    <w:rsid w:val="00465FE5"/>
    <w:rsid w:val="004669D4"/>
    <w:rsid w:val="00466B97"/>
    <w:rsid w:val="00470646"/>
    <w:rsid w:val="004718F9"/>
    <w:rsid w:val="004719E7"/>
    <w:rsid w:val="00471F50"/>
    <w:rsid w:val="00473114"/>
    <w:rsid w:val="00474882"/>
    <w:rsid w:val="00476595"/>
    <w:rsid w:val="0047675E"/>
    <w:rsid w:val="00480B9C"/>
    <w:rsid w:val="00481705"/>
    <w:rsid w:val="004819C2"/>
    <w:rsid w:val="00481D91"/>
    <w:rsid w:val="00482329"/>
    <w:rsid w:val="0048238A"/>
    <w:rsid w:val="00483BEA"/>
    <w:rsid w:val="00483CAB"/>
    <w:rsid w:val="00483CDD"/>
    <w:rsid w:val="00487014"/>
    <w:rsid w:val="004902CF"/>
    <w:rsid w:val="00490508"/>
    <w:rsid w:val="00490B8E"/>
    <w:rsid w:val="00490C88"/>
    <w:rsid w:val="00491E3C"/>
    <w:rsid w:val="004924C7"/>
    <w:rsid w:val="0049344E"/>
    <w:rsid w:val="00493CD9"/>
    <w:rsid w:val="00493EF3"/>
    <w:rsid w:val="00494C64"/>
    <w:rsid w:val="00495708"/>
    <w:rsid w:val="0049570D"/>
    <w:rsid w:val="00495C1C"/>
    <w:rsid w:val="0049746B"/>
    <w:rsid w:val="004A06A3"/>
    <w:rsid w:val="004A1207"/>
    <w:rsid w:val="004A136D"/>
    <w:rsid w:val="004A17D7"/>
    <w:rsid w:val="004A1C1E"/>
    <w:rsid w:val="004A24BB"/>
    <w:rsid w:val="004A282F"/>
    <w:rsid w:val="004A29B0"/>
    <w:rsid w:val="004A2BA5"/>
    <w:rsid w:val="004A2D80"/>
    <w:rsid w:val="004A3286"/>
    <w:rsid w:val="004A4185"/>
    <w:rsid w:val="004A437A"/>
    <w:rsid w:val="004A5A0A"/>
    <w:rsid w:val="004A646C"/>
    <w:rsid w:val="004A6A79"/>
    <w:rsid w:val="004A7585"/>
    <w:rsid w:val="004A78C5"/>
    <w:rsid w:val="004B138E"/>
    <w:rsid w:val="004B1853"/>
    <w:rsid w:val="004C0174"/>
    <w:rsid w:val="004C050B"/>
    <w:rsid w:val="004C062C"/>
    <w:rsid w:val="004C076D"/>
    <w:rsid w:val="004C1DEA"/>
    <w:rsid w:val="004C2F3F"/>
    <w:rsid w:val="004C3087"/>
    <w:rsid w:val="004C38DB"/>
    <w:rsid w:val="004C396B"/>
    <w:rsid w:val="004C3A26"/>
    <w:rsid w:val="004C3BAB"/>
    <w:rsid w:val="004C3F14"/>
    <w:rsid w:val="004C5222"/>
    <w:rsid w:val="004C5499"/>
    <w:rsid w:val="004C5697"/>
    <w:rsid w:val="004C570F"/>
    <w:rsid w:val="004C6077"/>
    <w:rsid w:val="004C634F"/>
    <w:rsid w:val="004D0570"/>
    <w:rsid w:val="004D0907"/>
    <w:rsid w:val="004D0A91"/>
    <w:rsid w:val="004D0C01"/>
    <w:rsid w:val="004D1A12"/>
    <w:rsid w:val="004D1ED3"/>
    <w:rsid w:val="004D20D7"/>
    <w:rsid w:val="004D281D"/>
    <w:rsid w:val="004D2D14"/>
    <w:rsid w:val="004D33A0"/>
    <w:rsid w:val="004D37AC"/>
    <w:rsid w:val="004D388F"/>
    <w:rsid w:val="004D46F0"/>
    <w:rsid w:val="004D5F61"/>
    <w:rsid w:val="004D6826"/>
    <w:rsid w:val="004D685C"/>
    <w:rsid w:val="004E1F29"/>
    <w:rsid w:val="004E2BDB"/>
    <w:rsid w:val="004E2EF0"/>
    <w:rsid w:val="004E4F57"/>
    <w:rsid w:val="004E58F4"/>
    <w:rsid w:val="004E673B"/>
    <w:rsid w:val="004E71F5"/>
    <w:rsid w:val="004F0D8F"/>
    <w:rsid w:val="004F0E4E"/>
    <w:rsid w:val="004F1891"/>
    <w:rsid w:val="004F1D8C"/>
    <w:rsid w:val="004F2DE9"/>
    <w:rsid w:val="004F4096"/>
    <w:rsid w:val="004F46AD"/>
    <w:rsid w:val="004F5095"/>
    <w:rsid w:val="004F6158"/>
    <w:rsid w:val="004F6FC4"/>
    <w:rsid w:val="004F726D"/>
    <w:rsid w:val="004F74EB"/>
    <w:rsid w:val="00500684"/>
    <w:rsid w:val="00500B24"/>
    <w:rsid w:val="00501213"/>
    <w:rsid w:val="00501B64"/>
    <w:rsid w:val="005037F2"/>
    <w:rsid w:val="00503B06"/>
    <w:rsid w:val="00507664"/>
    <w:rsid w:val="0051084A"/>
    <w:rsid w:val="00510AFE"/>
    <w:rsid w:val="00511798"/>
    <w:rsid w:val="00511E10"/>
    <w:rsid w:val="00512EA6"/>
    <w:rsid w:val="00512F57"/>
    <w:rsid w:val="00513757"/>
    <w:rsid w:val="00514184"/>
    <w:rsid w:val="005143AF"/>
    <w:rsid w:val="005154ED"/>
    <w:rsid w:val="005157C7"/>
    <w:rsid w:val="0051622E"/>
    <w:rsid w:val="00516855"/>
    <w:rsid w:val="005203EE"/>
    <w:rsid w:val="00520BE9"/>
    <w:rsid w:val="005216B8"/>
    <w:rsid w:val="005216EE"/>
    <w:rsid w:val="00522A66"/>
    <w:rsid w:val="00522C93"/>
    <w:rsid w:val="005239EC"/>
    <w:rsid w:val="00524EEF"/>
    <w:rsid w:val="00525254"/>
    <w:rsid w:val="005252B9"/>
    <w:rsid w:val="00525AAD"/>
    <w:rsid w:val="00525B85"/>
    <w:rsid w:val="00526188"/>
    <w:rsid w:val="0052642E"/>
    <w:rsid w:val="0052653A"/>
    <w:rsid w:val="00526EA8"/>
    <w:rsid w:val="00527678"/>
    <w:rsid w:val="00527797"/>
    <w:rsid w:val="0053075F"/>
    <w:rsid w:val="0053095C"/>
    <w:rsid w:val="00531BBE"/>
    <w:rsid w:val="00531E6F"/>
    <w:rsid w:val="005361AB"/>
    <w:rsid w:val="00537245"/>
    <w:rsid w:val="00537600"/>
    <w:rsid w:val="00540352"/>
    <w:rsid w:val="00540365"/>
    <w:rsid w:val="00540C8E"/>
    <w:rsid w:val="0054363F"/>
    <w:rsid w:val="005450A8"/>
    <w:rsid w:val="0054685D"/>
    <w:rsid w:val="00546A82"/>
    <w:rsid w:val="0054771E"/>
    <w:rsid w:val="00547DC6"/>
    <w:rsid w:val="00547EC0"/>
    <w:rsid w:val="00550C62"/>
    <w:rsid w:val="00551D6E"/>
    <w:rsid w:val="00551EB8"/>
    <w:rsid w:val="00552800"/>
    <w:rsid w:val="00552A46"/>
    <w:rsid w:val="005546EF"/>
    <w:rsid w:val="00554AA2"/>
    <w:rsid w:val="00555300"/>
    <w:rsid w:val="0055536C"/>
    <w:rsid w:val="00555643"/>
    <w:rsid w:val="00555E34"/>
    <w:rsid w:val="005560CE"/>
    <w:rsid w:val="0055749F"/>
    <w:rsid w:val="0055757C"/>
    <w:rsid w:val="00560226"/>
    <w:rsid w:val="00560709"/>
    <w:rsid w:val="005615C1"/>
    <w:rsid w:val="005619A1"/>
    <w:rsid w:val="00563071"/>
    <w:rsid w:val="0056380B"/>
    <w:rsid w:val="00563E17"/>
    <w:rsid w:val="00563EB6"/>
    <w:rsid w:val="00566D18"/>
    <w:rsid w:val="0056708B"/>
    <w:rsid w:val="005673DA"/>
    <w:rsid w:val="005710BD"/>
    <w:rsid w:val="00572D38"/>
    <w:rsid w:val="005730C1"/>
    <w:rsid w:val="0057317D"/>
    <w:rsid w:val="00573870"/>
    <w:rsid w:val="0057534F"/>
    <w:rsid w:val="005760B1"/>
    <w:rsid w:val="00576A50"/>
    <w:rsid w:val="005779B8"/>
    <w:rsid w:val="00577F53"/>
    <w:rsid w:val="00581219"/>
    <w:rsid w:val="00581AD3"/>
    <w:rsid w:val="00581EB2"/>
    <w:rsid w:val="00582420"/>
    <w:rsid w:val="005826A9"/>
    <w:rsid w:val="00583508"/>
    <w:rsid w:val="00583B64"/>
    <w:rsid w:val="00583DC8"/>
    <w:rsid w:val="005850E2"/>
    <w:rsid w:val="00585A43"/>
    <w:rsid w:val="00585B08"/>
    <w:rsid w:val="00585F84"/>
    <w:rsid w:val="00586114"/>
    <w:rsid w:val="005909FA"/>
    <w:rsid w:val="00591AEE"/>
    <w:rsid w:val="005930BD"/>
    <w:rsid w:val="00594D41"/>
    <w:rsid w:val="00595A5D"/>
    <w:rsid w:val="00596218"/>
    <w:rsid w:val="00596D79"/>
    <w:rsid w:val="00597269"/>
    <w:rsid w:val="005976F9"/>
    <w:rsid w:val="00597EB8"/>
    <w:rsid w:val="005A04F4"/>
    <w:rsid w:val="005A1D40"/>
    <w:rsid w:val="005A286E"/>
    <w:rsid w:val="005A2F69"/>
    <w:rsid w:val="005A3104"/>
    <w:rsid w:val="005A35E1"/>
    <w:rsid w:val="005A45C0"/>
    <w:rsid w:val="005A4E90"/>
    <w:rsid w:val="005A4FF0"/>
    <w:rsid w:val="005A533B"/>
    <w:rsid w:val="005A5ECB"/>
    <w:rsid w:val="005A6711"/>
    <w:rsid w:val="005A6CEB"/>
    <w:rsid w:val="005A6FC1"/>
    <w:rsid w:val="005A762A"/>
    <w:rsid w:val="005A7CF9"/>
    <w:rsid w:val="005B38BF"/>
    <w:rsid w:val="005B4E6D"/>
    <w:rsid w:val="005B4F62"/>
    <w:rsid w:val="005B5892"/>
    <w:rsid w:val="005B5A8D"/>
    <w:rsid w:val="005C1FBA"/>
    <w:rsid w:val="005C487C"/>
    <w:rsid w:val="005C610A"/>
    <w:rsid w:val="005C6FC6"/>
    <w:rsid w:val="005D00D8"/>
    <w:rsid w:val="005D0681"/>
    <w:rsid w:val="005D0AB9"/>
    <w:rsid w:val="005D1327"/>
    <w:rsid w:val="005D2020"/>
    <w:rsid w:val="005D2B6B"/>
    <w:rsid w:val="005D2D8F"/>
    <w:rsid w:val="005D3B64"/>
    <w:rsid w:val="005D473B"/>
    <w:rsid w:val="005D4AF5"/>
    <w:rsid w:val="005D5A28"/>
    <w:rsid w:val="005D6E41"/>
    <w:rsid w:val="005E1078"/>
    <w:rsid w:val="005E214D"/>
    <w:rsid w:val="005E2B32"/>
    <w:rsid w:val="005E347A"/>
    <w:rsid w:val="005E4125"/>
    <w:rsid w:val="005E447E"/>
    <w:rsid w:val="005E4689"/>
    <w:rsid w:val="005E59FB"/>
    <w:rsid w:val="005E6548"/>
    <w:rsid w:val="005E6F1C"/>
    <w:rsid w:val="005E6FE5"/>
    <w:rsid w:val="005F00A3"/>
    <w:rsid w:val="005F0875"/>
    <w:rsid w:val="005F0C10"/>
    <w:rsid w:val="005F0FB2"/>
    <w:rsid w:val="005F108D"/>
    <w:rsid w:val="005F25AE"/>
    <w:rsid w:val="005F461A"/>
    <w:rsid w:val="005F462B"/>
    <w:rsid w:val="005F4910"/>
    <w:rsid w:val="005F5E68"/>
    <w:rsid w:val="006004D2"/>
    <w:rsid w:val="00601846"/>
    <w:rsid w:val="00602A72"/>
    <w:rsid w:val="00602E12"/>
    <w:rsid w:val="00602E37"/>
    <w:rsid w:val="00605302"/>
    <w:rsid w:val="00606C6F"/>
    <w:rsid w:val="006073A6"/>
    <w:rsid w:val="00610CBD"/>
    <w:rsid w:val="00611482"/>
    <w:rsid w:val="006127AE"/>
    <w:rsid w:val="006144F7"/>
    <w:rsid w:val="00614C1F"/>
    <w:rsid w:val="00617361"/>
    <w:rsid w:val="00617DFC"/>
    <w:rsid w:val="00620051"/>
    <w:rsid w:val="0062006F"/>
    <w:rsid w:val="0062184A"/>
    <w:rsid w:val="006226CC"/>
    <w:rsid w:val="00622D5C"/>
    <w:rsid w:val="00624484"/>
    <w:rsid w:val="00624C39"/>
    <w:rsid w:val="00625A80"/>
    <w:rsid w:val="00625AC7"/>
    <w:rsid w:val="00625BDF"/>
    <w:rsid w:val="006272A0"/>
    <w:rsid w:val="006304F3"/>
    <w:rsid w:val="0063087F"/>
    <w:rsid w:val="00630B41"/>
    <w:rsid w:val="00630B93"/>
    <w:rsid w:val="006321CF"/>
    <w:rsid w:val="00633B39"/>
    <w:rsid w:val="00633C9E"/>
    <w:rsid w:val="00633D94"/>
    <w:rsid w:val="00634171"/>
    <w:rsid w:val="00634632"/>
    <w:rsid w:val="00634D4E"/>
    <w:rsid w:val="0063523A"/>
    <w:rsid w:val="0063552F"/>
    <w:rsid w:val="0063596C"/>
    <w:rsid w:val="006375D0"/>
    <w:rsid w:val="0064049B"/>
    <w:rsid w:val="0064068A"/>
    <w:rsid w:val="006408A7"/>
    <w:rsid w:val="0064100A"/>
    <w:rsid w:val="00641B7C"/>
    <w:rsid w:val="00641BC4"/>
    <w:rsid w:val="00642285"/>
    <w:rsid w:val="00642EFC"/>
    <w:rsid w:val="00643204"/>
    <w:rsid w:val="0064322B"/>
    <w:rsid w:val="006457C1"/>
    <w:rsid w:val="00645B85"/>
    <w:rsid w:val="00645E24"/>
    <w:rsid w:val="0064668E"/>
    <w:rsid w:val="00646DAC"/>
    <w:rsid w:val="0064726B"/>
    <w:rsid w:val="00647C83"/>
    <w:rsid w:val="00650267"/>
    <w:rsid w:val="006517C8"/>
    <w:rsid w:val="00651920"/>
    <w:rsid w:val="006519E4"/>
    <w:rsid w:val="00651A50"/>
    <w:rsid w:val="0065592D"/>
    <w:rsid w:val="00656480"/>
    <w:rsid w:val="0065649A"/>
    <w:rsid w:val="00657792"/>
    <w:rsid w:val="00657A7A"/>
    <w:rsid w:val="006605B8"/>
    <w:rsid w:val="00660CBE"/>
    <w:rsid w:val="006618EB"/>
    <w:rsid w:val="006619FF"/>
    <w:rsid w:val="00662FE2"/>
    <w:rsid w:val="006637AE"/>
    <w:rsid w:val="00663ADB"/>
    <w:rsid w:val="00663E77"/>
    <w:rsid w:val="006669C2"/>
    <w:rsid w:val="00667E21"/>
    <w:rsid w:val="00670FA7"/>
    <w:rsid w:val="00672E00"/>
    <w:rsid w:val="00673563"/>
    <w:rsid w:val="00673BEC"/>
    <w:rsid w:val="00673C11"/>
    <w:rsid w:val="00673D33"/>
    <w:rsid w:val="006746E9"/>
    <w:rsid w:val="00674BCD"/>
    <w:rsid w:val="00677F88"/>
    <w:rsid w:val="006807F2"/>
    <w:rsid w:val="00681341"/>
    <w:rsid w:val="0068190A"/>
    <w:rsid w:val="006822DF"/>
    <w:rsid w:val="006832B9"/>
    <w:rsid w:val="0068366D"/>
    <w:rsid w:val="00685083"/>
    <w:rsid w:val="00685496"/>
    <w:rsid w:val="00685E32"/>
    <w:rsid w:val="006860B0"/>
    <w:rsid w:val="0068658E"/>
    <w:rsid w:val="00691BB5"/>
    <w:rsid w:val="00692541"/>
    <w:rsid w:val="0069322D"/>
    <w:rsid w:val="006937F1"/>
    <w:rsid w:val="00693E91"/>
    <w:rsid w:val="00693EC0"/>
    <w:rsid w:val="00694B52"/>
    <w:rsid w:val="00695CC1"/>
    <w:rsid w:val="006972CF"/>
    <w:rsid w:val="006979AE"/>
    <w:rsid w:val="00697F37"/>
    <w:rsid w:val="006A09F1"/>
    <w:rsid w:val="006A1657"/>
    <w:rsid w:val="006A2045"/>
    <w:rsid w:val="006A233A"/>
    <w:rsid w:val="006A3406"/>
    <w:rsid w:val="006A4656"/>
    <w:rsid w:val="006A472A"/>
    <w:rsid w:val="006A485F"/>
    <w:rsid w:val="006A5071"/>
    <w:rsid w:val="006A5530"/>
    <w:rsid w:val="006A55D4"/>
    <w:rsid w:val="006A6B37"/>
    <w:rsid w:val="006A6B68"/>
    <w:rsid w:val="006B11C0"/>
    <w:rsid w:val="006B1D23"/>
    <w:rsid w:val="006B2390"/>
    <w:rsid w:val="006B2A79"/>
    <w:rsid w:val="006B2B57"/>
    <w:rsid w:val="006B44CB"/>
    <w:rsid w:val="006B5DBF"/>
    <w:rsid w:val="006B68BF"/>
    <w:rsid w:val="006B78AB"/>
    <w:rsid w:val="006B7F32"/>
    <w:rsid w:val="006C0414"/>
    <w:rsid w:val="006C08A2"/>
    <w:rsid w:val="006C192E"/>
    <w:rsid w:val="006C23A4"/>
    <w:rsid w:val="006C3CBD"/>
    <w:rsid w:val="006C4B62"/>
    <w:rsid w:val="006C567F"/>
    <w:rsid w:val="006C6522"/>
    <w:rsid w:val="006C6B82"/>
    <w:rsid w:val="006C6C35"/>
    <w:rsid w:val="006C6E8D"/>
    <w:rsid w:val="006D09DB"/>
    <w:rsid w:val="006D13CE"/>
    <w:rsid w:val="006D15AE"/>
    <w:rsid w:val="006D1FE0"/>
    <w:rsid w:val="006D2FB0"/>
    <w:rsid w:val="006D4312"/>
    <w:rsid w:val="006D5889"/>
    <w:rsid w:val="006D58CB"/>
    <w:rsid w:val="006D5D70"/>
    <w:rsid w:val="006D60A3"/>
    <w:rsid w:val="006D6B07"/>
    <w:rsid w:val="006D7947"/>
    <w:rsid w:val="006E00F9"/>
    <w:rsid w:val="006E266A"/>
    <w:rsid w:val="006E2EA3"/>
    <w:rsid w:val="006E3339"/>
    <w:rsid w:val="006E4404"/>
    <w:rsid w:val="006E4485"/>
    <w:rsid w:val="006E4913"/>
    <w:rsid w:val="006E4E73"/>
    <w:rsid w:val="006E7128"/>
    <w:rsid w:val="006E7262"/>
    <w:rsid w:val="006E736D"/>
    <w:rsid w:val="006E7923"/>
    <w:rsid w:val="006E799C"/>
    <w:rsid w:val="006F09EB"/>
    <w:rsid w:val="006F3D5E"/>
    <w:rsid w:val="006F49DC"/>
    <w:rsid w:val="006F4DFE"/>
    <w:rsid w:val="006F5A1A"/>
    <w:rsid w:val="006F5ADE"/>
    <w:rsid w:val="006F7092"/>
    <w:rsid w:val="00700148"/>
    <w:rsid w:val="007002E6"/>
    <w:rsid w:val="0070066C"/>
    <w:rsid w:val="007006AC"/>
    <w:rsid w:val="00703752"/>
    <w:rsid w:val="00705296"/>
    <w:rsid w:val="00710E8B"/>
    <w:rsid w:val="0071131E"/>
    <w:rsid w:val="00711443"/>
    <w:rsid w:val="0071161A"/>
    <w:rsid w:val="00711AA8"/>
    <w:rsid w:val="00711DD9"/>
    <w:rsid w:val="00713778"/>
    <w:rsid w:val="00713AB2"/>
    <w:rsid w:val="00713DC1"/>
    <w:rsid w:val="007149AC"/>
    <w:rsid w:val="00714B64"/>
    <w:rsid w:val="00714CE2"/>
    <w:rsid w:val="0071551F"/>
    <w:rsid w:val="007156A7"/>
    <w:rsid w:val="007164EA"/>
    <w:rsid w:val="00716ED8"/>
    <w:rsid w:val="007171D9"/>
    <w:rsid w:val="0071747E"/>
    <w:rsid w:val="00717606"/>
    <w:rsid w:val="00717C7C"/>
    <w:rsid w:val="007209E6"/>
    <w:rsid w:val="00721947"/>
    <w:rsid w:val="00721B8D"/>
    <w:rsid w:val="0072226D"/>
    <w:rsid w:val="00722283"/>
    <w:rsid w:val="0072306A"/>
    <w:rsid w:val="007230C4"/>
    <w:rsid w:val="007239DD"/>
    <w:rsid w:val="007239EC"/>
    <w:rsid w:val="00723C23"/>
    <w:rsid w:val="00724037"/>
    <w:rsid w:val="007243EA"/>
    <w:rsid w:val="00724597"/>
    <w:rsid w:val="00724982"/>
    <w:rsid w:val="00724E9C"/>
    <w:rsid w:val="0072546B"/>
    <w:rsid w:val="00725E03"/>
    <w:rsid w:val="00727843"/>
    <w:rsid w:val="00731E21"/>
    <w:rsid w:val="0073210B"/>
    <w:rsid w:val="0073467F"/>
    <w:rsid w:val="007347DA"/>
    <w:rsid w:val="007366DC"/>
    <w:rsid w:val="00736A02"/>
    <w:rsid w:val="00736F80"/>
    <w:rsid w:val="007403EC"/>
    <w:rsid w:val="007414CF"/>
    <w:rsid w:val="00741B3C"/>
    <w:rsid w:val="00741C6F"/>
    <w:rsid w:val="00741F07"/>
    <w:rsid w:val="007422C1"/>
    <w:rsid w:val="00742D33"/>
    <w:rsid w:val="00743ED2"/>
    <w:rsid w:val="007444BB"/>
    <w:rsid w:val="00745EA7"/>
    <w:rsid w:val="0074695C"/>
    <w:rsid w:val="00746998"/>
    <w:rsid w:val="00746BC8"/>
    <w:rsid w:val="00747334"/>
    <w:rsid w:val="00747405"/>
    <w:rsid w:val="00747471"/>
    <w:rsid w:val="0075175C"/>
    <w:rsid w:val="007517AC"/>
    <w:rsid w:val="007518A6"/>
    <w:rsid w:val="00752139"/>
    <w:rsid w:val="007523A9"/>
    <w:rsid w:val="00752683"/>
    <w:rsid w:val="007539A8"/>
    <w:rsid w:val="00755A4D"/>
    <w:rsid w:val="00755A7A"/>
    <w:rsid w:val="00755B9E"/>
    <w:rsid w:val="00760B7B"/>
    <w:rsid w:val="00760E0A"/>
    <w:rsid w:val="00760F40"/>
    <w:rsid w:val="00761A89"/>
    <w:rsid w:val="0076202F"/>
    <w:rsid w:val="0076341C"/>
    <w:rsid w:val="00763937"/>
    <w:rsid w:val="00763EE5"/>
    <w:rsid w:val="00764ED8"/>
    <w:rsid w:val="00766616"/>
    <w:rsid w:val="00766FE9"/>
    <w:rsid w:val="00767C91"/>
    <w:rsid w:val="00770713"/>
    <w:rsid w:val="00770943"/>
    <w:rsid w:val="00770E65"/>
    <w:rsid w:val="00771C23"/>
    <w:rsid w:val="00771CFC"/>
    <w:rsid w:val="00771DB0"/>
    <w:rsid w:val="00772485"/>
    <w:rsid w:val="0077362A"/>
    <w:rsid w:val="00773A58"/>
    <w:rsid w:val="00773CAD"/>
    <w:rsid w:val="007746CE"/>
    <w:rsid w:val="00776768"/>
    <w:rsid w:val="00776CCA"/>
    <w:rsid w:val="00776F95"/>
    <w:rsid w:val="007773CC"/>
    <w:rsid w:val="00777A10"/>
    <w:rsid w:val="00777AAC"/>
    <w:rsid w:val="0078010A"/>
    <w:rsid w:val="0078046E"/>
    <w:rsid w:val="007812DA"/>
    <w:rsid w:val="00781769"/>
    <w:rsid w:val="00781AFD"/>
    <w:rsid w:val="00782EC8"/>
    <w:rsid w:val="007837F0"/>
    <w:rsid w:val="00783FC1"/>
    <w:rsid w:val="00784186"/>
    <w:rsid w:val="0078443C"/>
    <w:rsid w:val="00784A1E"/>
    <w:rsid w:val="00786187"/>
    <w:rsid w:val="00786373"/>
    <w:rsid w:val="00786935"/>
    <w:rsid w:val="007870FD"/>
    <w:rsid w:val="007872D1"/>
    <w:rsid w:val="0078754B"/>
    <w:rsid w:val="00790690"/>
    <w:rsid w:val="00790A16"/>
    <w:rsid w:val="0079187B"/>
    <w:rsid w:val="00792850"/>
    <w:rsid w:val="00792DE3"/>
    <w:rsid w:val="0079305A"/>
    <w:rsid w:val="00795251"/>
    <w:rsid w:val="0079590E"/>
    <w:rsid w:val="0079683C"/>
    <w:rsid w:val="007974C6"/>
    <w:rsid w:val="00797EA8"/>
    <w:rsid w:val="007A07E7"/>
    <w:rsid w:val="007A0C6A"/>
    <w:rsid w:val="007A0F61"/>
    <w:rsid w:val="007A33DA"/>
    <w:rsid w:val="007A4196"/>
    <w:rsid w:val="007A4894"/>
    <w:rsid w:val="007A5824"/>
    <w:rsid w:val="007A6012"/>
    <w:rsid w:val="007A77CA"/>
    <w:rsid w:val="007A7E6F"/>
    <w:rsid w:val="007B4810"/>
    <w:rsid w:val="007B5188"/>
    <w:rsid w:val="007B5349"/>
    <w:rsid w:val="007B5F0F"/>
    <w:rsid w:val="007B7982"/>
    <w:rsid w:val="007C01A3"/>
    <w:rsid w:val="007C199D"/>
    <w:rsid w:val="007C1F7A"/>
    <w:rsid w:val="007C3FC5"/>
    <w:rsid w:val="007C420D"/>
    <w:rsid w:val="007C44ED"/>
    <w:rsid w:val="007C479D"/>
    <w:rsid w:val="007C61B3"/>
    <w:rsid w:val="007C62F9"/>
    <w:rsid w:val="007C6D80"/>
    <w:rsid w:val="007C6E67"/>
    <w:rsid w:val="007D15E1"/>
    <w:rsid w:val="007D19BC"/>
    <w:rsid w:val="007D2A4E"/>
    <w:rsid w:val="007D2B90"/>
    <w:rsid w:val="007D37A6"/>
    <w:rsid w:val="007D3966"/>
    <w:rsid w:val="007D39D2"/>
    <w:rsid w:val="007D4EDA"/>
    <w:rsid w:val="007D58F0"/>
    <w:rsid w:val="007D65C4"/>
    <w:rsid w:val="007E1490"/>
    <w:rsid w:val="007E3FE8"/>
    <w:rsid w:val="007E474C"/>
    <w:rsid w:val="007E4DEA"/>
    <w:rsid w:val="007E508A"/>
    <w:rsid w:val="007E6559"/>
    <w:rsid w:val="007E6B30"/>
    <w:rsid w:val="007E6B7D"/>
    <w:rsid w:val="007E6C3E"/>
    <w:rsid w:val="007E713A"/>
    <w:rsid w:val="007E7C45"/>
    <w:rsid w:val="007F0270"/>
    <w:rsid w:val="007F0E60"/>
    <w:rsid w:val="007F1DE9"/>
    <w:rsid w:val="007F2CD6"/>
    <w:rsid w:val="007F3557"/>
    <w:rsid w:val="007F4470"/>
    <w:rsid w:val="007F5073"/>
    <w:rsid w:val="007F63F0"/>
    <w:rsid w:val="007F6A95"/>
    <w:rsid w:val="00800105"/>
    <w:rsid w:val="0080256B"/>
    <w:rsid w:val="008041BB"/>
    <w:rsid w:val="0080454F"/>
    <w:rsid w:val="00804770"/>
    <w:rsid w:val="00804837"/>
    <w:rsid w:val="00804960"/>
    <w:rsid w:val="00805131"/>
    <w:rsid w:val="008055B8"/>
    <w:rsid w:val="00805B2A"/>
    <w:rsid w:val="00805B56"/>
    <w:rsid w:val="00805C65"/>
    <w:rsid w:val="008065C2"/>
    <w:rsid w:val="008078BD"/>
    <w:rsid w:val="00814040"/>
    <w:rsid w:val="00814B93"/>
    <w:rsid w:val="008166EA"/>
    <w:rsid w:val="00816C1D"/>
    <w:rsid w:val="00816DF8"/>
    <w:rsid w:val="00817812"/>
    <w:rsid w:val="0082301A"/>
    <w:rsid w:val="00823A7A"/>
    <w:rsid w:val="00824D84"/>
    <w:rsid w:val="00825595"/>
    <w:rsid w:val="008267D4"/>
    <w:rsid w:val="00826B40"/>
    <w:rsid w:val="00830FA7"/>
    <w:rsid w:val="0083140F"/>
    <w:rsid w:val="008323FA"/>
    <w:rsid w:val="00832EEA"/>
    <w:rsid w:val="0083342E"/>
    <w:rsid w:val="00833506"/>
    <w:rsid w:val="00833C8A"/>
    <w:rsid w:val="00834072"/>
    <w:rsid w:val="008349DF"/>
    <w:rsid w:val="00834A9A"/>
    <w:rsid w:val="0083527D"/>
    <w:rsid w:val="008356E9"/>
    <w:rsid w:val="0083592B"/>
    <w:rsid w:val="00837054"/>
    <w:rsid w:val="00837342"/>
    <w:rsid w:val="00837692"/>
    <w:rsid w:val="00837799"/>
    <w:rsid w:val="008412E0"/>
    <w:rsid w:val="008429B3"/>
    <w:rsid w:val="00843E6D"/>
    <w:rsid w:val="008444A6"/>
    <w:rsid w:val="00844AA1"/>
    <w:rsid w:val="00845747"/>
    <w:rsid w:val="00846335"/>
    <w:rsid w:val="0084689B"/>
    <w:rsid w:val="00846A3C"/>
    <w:rsid w:val="00846A5F"/>
    <w:rsid w:val="00846C19"/>
    <w:rsid w:val="00846D86"/>
    <w:rsid w:val="00847083"/>
    <w:rsid w:val="00847CC2"/>
    <w:rsid w:val="0085215B"/>
    <w:rsid w:val="00852583"/>
    <w:rsid w:val="00852843"/>
    <w:rsid w:val="00852B3B"/>
    <w:rsid w:val="008540C0"/>
    <w:rsid w:val="008572F5"/>
    <w:rsid w:val="00860353"/>
    <w:rsid w:val="008608AF"/>
    <w:rsid w:val="00860A0D"/>
    <w:rsid w:val="00860D0D"/>
    <w:rsid w:val="00860DD8"/>
    <w:rsid w:val="00861CA0"/>
    <w:rsid w:val="00862121"/>
    <w:rsid w:val="00862302"/>
    <w:rsid w:val="00862342"/>
    <w:rsid w:val="008635FC"/>
    <w:rsid w:val="00863FF8"/>
    <w:rsid w:val="008648FD"/>
    <w:rsid w:val="00865B79"/>
    <w:rsid w:val="008677D8"/>
    <w:rsid w:val="00867B59"/>
    <w:rsid w:val="008700BC"/>
    <w:rsid w:val="00870150"/>
    <w:rsid w:val="00870D43"/>
    <w:rsid w:val="008720C8"/>
    <w:rsid w:val="00872327"/>
    <w:rsid w:val="008730DD"/>
    <w:rsid w:val="00874B87"/>
    <w:rsid w:val="0087593C"/>
    <w:rsid w:val="00875B3D"/>
    <w:rsid w:val="00876354"/>
    <w:rsid w:val="0087649B"/>
    <w:rsid w:val="00876B4F"/>
    <w:rsid w:val="00877671"/>
    <w:rsid w:val="00880808"/>
    <w:rsid w:val="0088141F"/>
    <w:rsid w:val="0088273B"/>
    <w:rsid w:val="008835C2"/>
    <w:rsid w:val="00886B30"/>
    <w:rsid w:val="008870AA"/>
    <w:rsid w:val="00887649"/>
    <w:rsid w:val="00887DC6"/>
    <w:rsid w:val="00890036"/>
    <w:rsid w:val="008905E8"/>
    <w:rsid w:val="00894A1A"/>
    <w:rsid w:val="00894D10"/>
    <w:rsid w:val="00894F28"/>
    <w:rsid w:val="00896600"/>
    <w:rsid w:val="00896FB7"/>
    <w:rsid w:val="0089703F"/>
    <w:rsid w:val="00897672"/>
    <w:rsid w:val="008A0025"/>
    <w:rsid w:val="008A19FE"/>
    <w:rsid w:val="008A1D90"/>
    <w:rsid w:val="008A22B2"/>
    <w:rsid w:val="008A2887"/>
    <w:rsid w:val="008A2985"/>
    <w:rsid w:val="008A4A4E"/>
    <w:rsid w:val="008A5408"/>
    <w:rsid w:val="008A56D0"/>
    <w:rsid w:val="008A7862"/>
    <w:rsid w:val="008B0F95"/>
    <w:rsid w:val="008B1343"/>
    <w:rsid w:val="008B15D3"/>
    <w:rsid w:val="008B1B70"/>
    <w:rsid w:val="008B1EAA"/>
    <w:rsid w:val="008B1F1D"/>
    <w:rsid w:val="008B1F9D"/>
    <w:rsid w:val="008B2628"/>
    <w:rsid w:val="008B2B45"/>
    <w:rsid w:val="008B3436"/>
    <w:rsid w:val="008B3A0E"/>
    <w:rsid w:val="008B4A85"/>
    <w:rsid w:val="008B5824"/>
    <w:rsid w:val="008B5D0F"/>
    <w:rsid w:val="008B64F5"/>
    <w:rsid w:val="008B658F"/>
    <w:rsid w:val="008B65F9"/>
    <w:rsid w:val="008B7E4B"/>
    <w:rsid w:val="008C05D5"/>
    <w:rsid w:val="008C07D1"/>
    <w:rsid w:val="008C0985"/>
    <w:rsid w:val="008C0ADB"/>
    <w:rsid w:val="008C0C1F"/>
    <w:rsid w:val="008C14EC"/>
    <w:rsid w:val="008C18C9"/>
    <w:rsid w:val="008C1F6C"/>
    <w:rsid w:val="008C2F28"/>
    <w:rsid w:val="008C339D"/>
    <w:rsid w:val="008C438E"/>
    <w:rsid w:val="008C4D91"/>
    <w:rsid w:val="008C5446"/>
    <w:rsid w:val="008C5531"/>
    <w:rsid w:val="008C5605"/>
    <w:rsid w:val="008C5F3F"/>
    <w:rsid w:val="008C5F66"/>
    <w:rsid w:val="008D02BA"/>
    <w:rsid w:val="008D02E3"/>
    <w:rsid w:val="008D07F6"/>
    <w:rsid w:val="008D13B8"/>
    <w:rsid w:val="008D1733"/>
    <w:rsid w:val="008D1AA4"/>
    <w:rsid w:val="008D1F19"/>
    <w:rsid w:val="008D241B"/>
    <w:rsid w:val="008D39BE"/>
    <w:rsid w:val="008D4066"/>
    <w:rsid w:val="008D4105"/>
    <w:rsid w:val="008D47A4"/>
    <w:rsid w:val="008D4B40"/>
    <w:rsid w:val="008D4BC9"/>
    <w:rsid w:val="008D4DE3"/>
    <w:rsid w:val="008D5328"/>
    <w:rsid w:val="008D7622"/>
    <w:rsid w:val="008D7C54"/>
    <w:rsid w:val="008E016C"/>
    <w:rsid w:val="008E06FA"/>
    <w:rsid w:val="008E0F7C"/>
    <w:rsid w:val="008E117B"/>
    <w:rsid w:val="008E1715"/>
    <w:rsid w:val="008E18CE"/>
    <w:rsid w:val="008E1A40"/>
    <w:rsid w:val="008E22F1"/>
    <w:rsid w:val="008E2634"/>
    <w:rsid w:val="008E2F59"/>
    <w:rsid w:val="008E4D8E"/>
    <w:rsid w:val="008E4F35"/>
    <w:rsid w:val="008E5D92"/>
    <w:rsid w:val="008E5E42"/>
    <w:rsid w:val="008E60D7"/>
    <w:rsid w:val="008E63C0"/>
    <w:rsid w:val="008E6B14"/>
    <w:rsid w:val="008E781F"/>
    <w:rsid w:val="008E7B29"/>
    <w:rsid w:val="008E7D10"/>
    <w:rsid w:val="008E7EB5"/>
    <w:rsid w:val="008F1026"/>
    <w:rsid w:val="008F2E14"/>
    <w:rsid w:val="008F2F34"/>
    <w:rsid w:val="008F3A74"/>
    <w:rsid w:val="008F4390"/>
    <w:rsid w:val="008F4E45"/>
    <w:rsid w:val="008F54CC"/>
    <w:rsid w:val="008F552F"/>
    <w:rsid w:val="00900114"/>
    <w:rsid w:val="00900F4B"/>
    <w:rsid w:val="00901D37"/>
    <w:rsid w:val="009022CA"/>
    <w:rsid w:val="009033A5"/>
    <w:rsid w:val="009037B6"/>
    <w:rsid w:val="00904846"/>
    <w:rsid w:val="00904FF3"/>
    <w:rsid w:val="009052F0"/>
    <w:rsid w:val="00905705"/>
    <w:rsid w:val="0090680E"/>
    <w:rsid w:val="009070B8"/>
    <w:rsid w:val="009078F5"/>
    <w:rsid w:val="009078FF"/>
    <w:rsid w:val="00907B9E"/>
    <w:rsid w:val="009102D2"/>
    <w:rsid w:val="0091269A"/>
    <w:rsid w:val="009127CB"/>
    <w:rsid w:val="009130FE"/>
    <w:rsid w:val="00913AA9"/>
    <w:rsid w:val="00913FA7"/>
    <w:rsid w:val="00914063"/>
    <w:rsid w:val="0091572D"/>
    <w:rsid w:val="00915B94"/>
    <w:rsid w:val="0091636A"/>
    <w:rsid w:val="00916487"/>
    <w:rsid w:val="00916FD6"/>
    <w:rsid w:val="0091742D"/>
    <w:rsid w:val="00917622"/>
    <w:rsid w:val="009178CF"/>
    <w:rsid w:val="00917CEC"/>
    <w:rsid w:val="00921533"/>
    <w:rsid w:val="0092186F"/>
    <w:rsid w:val="00921D2E"/>
    <w:rsid w:val="00922046"/>
    <w:rsid w:val="009224E4"/>
    <w:rsid w:val="00922ADB"/>
    <w:rsid w:val="00922F3D"/>
    <w:rsid w:val="009235B1"/>
    <w:rsid w:val="00923D11"/>
    <w:rsid w:val="00923D2B"/>
    <w:rsid w:val="00923EB3"/>
    <w:rsid w:val="00923F80"/>
    <w:rsid w:val="0092408D"/>
    <w:rsid w:val="009248F8"/>
    <w:rsid w:val="00924A18"/>
    <w:rsid w:val="0092540C"/>
    <w:rsid w:val="00925C06"/>
    <w:rsid w:val="00926226"/>
    <w:rsid w:val="00926832"/>
    <w:rsid w:val="00926842"/>
    <w:rsid w:val="00930249"/>
    <w:rsid w:val="00932B64"/>
    <w:rsid w:val="00932EDA"/>
    <w:rsid w:val="00933E2E"/>
    <w:rsid w:val="0093423E"/>
    <w:rsid w:val="009352E2"/>
    <w:rsid w:val="00935701"/>
    <w:rsid w:val="009359D4"/>
    <w:rsid w:val="00935C3D"/>
    <w:rsid w:val="00935F6E"/>
    <w:rsid w:val="009361C4"/>
    <w:rsid w:val="0093649C"/>
    <w:rsid w:val="009368F5"/>
    <w:rsid w:val="00937F65"/>
    <w:rsid w:val="00940A1A"/>
    <w:rsid w:val="00940DFC"/>
    <w:rsid w:val="00940E58"/>
    <w:rsid w:val="00942058"/>
    <w:rsid w:val="0094269B"/>
    <w:rsid w:val="009426BD"/>
    <w:rsid w:val="00942890"/>
    <w:rsid w:val="009432A0"/>
    <w:rsid w:val="009432A4"/>
    <w:rsid w:val="00943A5F"/>
    <w:rsid w:val="00943AB5"/>
    <w:rsid w:val="00943DDB"/>
    <w:rsid w:val="009445C3"/>
    <w:rsid w:val="00944B01"/>
    <w:rsid w:val="00945070"/>
    <w:rsid w:val="009452A1"/>
    <w:rsid w:val="00945390"/>
    <w:rsid w:val="009454D6"/>
    <w:rsid w:val="00945731"/>
    <w:rsid w:val="00945885"/>
    <w:rsid w:val="009470F5"/>
    <w:rsid w:val="0094737F"/>
    <w:rsid w:val="009506CA"/>
    <w:rsid w:val="00950BFA"/>
    <w:rsid w:val="009528F0"/>
    <w:rsid w:val="009541E2"/>
    <w:rsid w:val="00954756"/>
    <w:rsid w:val="00954C4A"/>
    <w:rsid w:val="00955C4A"/>
    <w:rsid w:val="009560BF"/>
    <w:rsid w:val="00956138"/>
    <w:rsid w:val="009566E6"/>
    <w:rsid w:val="00956AC0"/>
    <w:rsid w:val="00957964"/>
    <w:rsid w:val="00957DC1"/>
    <w:rsid w:val="00960AE1"/>
    <w:rsid w:val="00961052"/>
    <w:rsid w:val="0096364C"/>
    <w:rsid w:val="00964A60"/>
    <w:rsid w:val="00964AFB"/>
    <w:rsid w:val="00965260"/>
    <w:rsid w:val="0096593D"/>
    <w:rsid w:val="00970256"/>
    <w:rsid w:val="00972427"/>
    <w:rsid w:val="00972910"/>
    <w:rsid w:val="009732C7"/>
    <w:rsid w:val="009736DA"/>
    <w:rsid w:val="00974A51"/>
    <w:rsid w:val="00974FFA"/>
    <w:rsid w:val="00975638"/>
    <w:rsid w:val="00975971"/>
    <w:rsid w:val="00975FA0"/>
    <w:rsid w:val="00976F8D"/>
    <w:rsid w:val="00977C82"/>
    <w:rsid w:val="009817A0"/>
    <w:rsid w:val="00981A62"/>
    <w:rsid w:val="00982CF8"/>
    <w:rsid w:val="0098354C"/>
    <w:rsid w:val="009835DC"/>
    <w:rsid w:val="00983B90"/>
    <w:rsid w:val="00983C33"/>
    <w:rsid w:val="00983D32"/>
    <w:rsid w:val="00984FFB"/>
    <w:rsid w:val="00985CBD"/>
    <w:rsid w:val="00986398"/>
    <w:rsid w:val="00986935"/>
    <w:rsid w:val="00987947"/>
    <w:rsid w:val="009913A1"/>
    <w:rsid w:val="009927DF"/>
    <w:rsid w:val="009930FB"/>
    <w:rsid w:val="0099458A"/>
    <w:rsid w:val="00994CBC"/>
    <w:rsid w:val="009972D5"/>
    <w:rsid w:val="009976C1"/>
    <w:rsid w:val="009977D7"/>
    <w:rsid w:val="009A004D"/>
    <w:rsid w:val="009A121D"/>
    <w:rsid w:val="009A1D33"/>
    <w:rsid w:val="009A1E6D"/>
    <w:rsid w:val="009A1EE4"/>
    <w:rsid w:val="009A285C"/>
    <w:rsid w:val="009A2B57"/>
    <w:rsid w:val="009A3231"/>
    <w:rsid w:val="009A6F1B"/>
    <w:rsid w:val="009A7300"/>
    <w:rsid w:val="009A7306"/>
    <w:rsid w:val="009B20F8"/>
    <w:rsid w:val="009B257A"/>
    <w:rsid w:val="009B315C"/>
    <w:rsid w:val="009B369E"/>
    <w:rsid w:val="009B3B1C"/>
    <w:rsid w:val="009B461F"/>
    <w:rsid w:val="009B4EBB"/>
    <w:rsid w:val="009B5040"/>
    <w:rsid w:val="009B5FBB"/>
    <w:rsid w:val="009B6085"/>
    <w:rsid w:val="009B6E4A"/>
    <w:rsid w:val="009C2DDF"/>
    <w:rsid w:val="009C33CA"/>
    <w:rsid w:val="009C3E4F"/>
    <w:rsid w:val="009C4BD5"/>
    <w:rsid w:val="009C4FF5"/>
    <w:rsid w:val="009C515E"/>
    <w:rsid w:val="009C52D7"/>
    <w:rsid w:val="009C58DB"/>
    <w:rsid w:val="009C5BBE"/>
    <w:rsid w:val="009C6AEC"/>
    <w:rsid w:val="009C74F4"/>
    <w:rsid w:val="009D0C8B"/>
    <w:rsid w:val="009D1711"/>
    <w:rsid w:val="009D29ED"/>
    <w:rsid w:val="009D395D"/>
    <w:rsid w:val="009D6015"/>
    <w:rsid w:val="009D63E0"/>
    <w:rsid w:val="009D6B47"/>
    <w:rsid w:val="009D7FE0"/>
    <w:rsid w:val="009E0100"/>
    <w:rsid w:val="009E1525"/>
    <w:rsid w:val="009E1F36"/>
    <w:rsid w:val="009E363A"/>
    <w:rsid w:val="009E6950"/>
    <w:rsid w:val="009F21D2"/>
    <w:rsid w:val="009F2410"/>
    <w:rsid w:val="009F389E"/>
    <w:rsid w:val="009F403B"/>
    <w:rsid w:val="009F4500"/>
    <w:rsid w:val="00A00775"/>
    <w:rsid w:val="00A018FE"/>
    <w:rsid w:val="00A031E4"/>
    <w:rsid w:val="00A033DB"/>
    <w:rsid w:val="00A03D32"/>
    <w:rsid w:val="00A041A3"/>
    <w:rsid w:val="00A044C6"/>
    <w:rsid w:val="00A044E7"/>
    <w:rsid w:val="00A04543"/>
    <w:rsid w:val="00A05C10"/>
    <w:rsid w:val="00A06EDC"/>
    <w:rsid w:val="00A07A34"/>
    <w:rsid w:val="00A100B6"/>
    <w:rsid w:val="00A107CE"/>
    <w:rsid w:val="00A112D3"/>
    <w:rsid w:val="00A12A58"/>
    <w:rsid w:val="00A12F09"/>
    <w:rsid w:val="00A14953"/>
    <w:rsid w:val="00A159E6"/>
    <w:rsid w:val="00A16E22"/>
    <w:rsid w:val="00A174D9"/>
    <w:rsid w:val="00A228E5"/>
    <w:rsid w:val="00A22FB3"/>
    <w:rsid w:val="00A244F1"/>
    <w:rsid w:val="00A24E1A"/>
    <w:rsid w:val="00A257FE"/>
    <w:rsid w:val="00A2586E"/>
    <w:rsid w:val="00A25F46"/>
    <w:rsid w:val="00A26695"/>
    <w:rsid w:val="00A2715E"/>
    <w:rsid w:val="00A27A81"/>
    <w:rsid w:val="00A303CA"/>
    <w:rsid w:val="00A30AFF"/>
    <w:rsid w:val="00A30F79"/>
    <w:rsid w:val="00A3168C"/>
    <w:rsid w:val="00A31B26"/>
    <w:rsid w:val="00A32F17"/>
    <w:rsid w:val="00A32FD0"/>
    <w:rsid w:val="00A33955"/>
    <w:rsid w:val="00A34506"/>
    <w:rsid w:val="00A34874"/>
    <w:rsid w:val="00A355D3"/>
    <w:rsid w:val="00A357E0"/>
    <w:rsid w:val="00A362E1"/>
    <w:rsid w:val="00A36ED9"/>
    <w:rsid w:val="00A378A3"/>
    <w:rsid w:val="00A37B5E"/>
    <w:rsid w:val="00A37F84"/>
    <w:rsid w:val="00A40B57"/>
    <w:rsid w:val="00A40D96"/>
    <w:rsid w:val="00A40F10"/>
    <w:rsid w:val="00A413BC"/>
    <w:rsid w:val="00A4176F"/>
    <w:rsid w:val="00A418A6"/>
    <w:rsid w:val="00A42AF1"/>
    <w:rsid w:val="00A44DF4"/>
    <w:rsid w:val="00A44EAC"/>
    <w:rsid w:val="00A44F69"/>
    <w:rsid w:val="00A4583B"/>
    <w:rsid w:val="00A466C7"/>
    <w:rsid w:val="00A4676C"/>
    <w:rsid w:val="00A523F3"/>
    <w:rsid w:val="00A544D7"/>
    <w:rsid w:val="00A549E9"/>
    <w:rsid w:val="00A551F8"/>
    <w:rsid w:val="00A5545B"/>
    <w:rsid w:val="00A55FC5"/>
    <w:rsid w:val="00A56FC8"/>
    <w:rsid w:val="00A60406"/>
    <w:rsid w:val="00A604FA"/>
    <w:rsid w:val="00A6071D"/>
    <w:rsid w:val="00A607BF"/>
    <w:rsid w:val="00A60AC0"/>
    <w:rsid w:val="00A60BD8"/>
    <w:rsid w:val="00A61565"/>
    <w:rsid w:val="00A62891"/>
    <w:rsid w:val="00A63D9E"/>
    <w:rsid w:val="00A63F26"/>
    <w:rsid w:val="00A641CB"/>
    <w:rsid w:val="00A64E70"/>
    <w:rsid w:val="00A66463"/>
    <w:rsid w:val="00A6703C"/>
    <w:rsid w:val="00A67E0D"/>
    <w:rsid w:val="00A7294F"/>
    <w:rsid w:val="00A72DDB"/>
    <w:rsid w:val="00A733DB"/>
    <w:rsid w:val="00A74257"/>
    <w:rsid w:val="00A74280"/>
    <w:rsid w:val="00A7485E"/>
    <w:rsid w:val="00A82105"/>
    <w:rsid w:val="00A852BA"/>
    <w:rsid w:val="00A861D6"/>
    <w:rsid w:val="00A86D12"/>
    <w:rsid w:val="00A871B0"/>
    <w:rsid w:val="00A9025D"/>
    <w:rsid w:val="00A91019"/>
    <w:rsid w:val="00A91146"/>
    <w:rsid w:val="00A918F3"/>
    <w:rsid w:val="00A91A0F"/>
    <w:rsid w:val="00A948C7"/>
    <w:rsid w:val="00A95E46"/>
    <w:rsid w:val="00A96346"/>
    <w:rsid w:val="00A96504"/>
    <w:rsid w:val="00A968B0"/>
    <w:rsid w:val="00A978CF"/>
    <w:rsid w:val="00AA2A8D"/>
    <w:rsid w:val="00AA2E84"/>
    <w:rsid w:val="00AA2F4A"/>
    <w:rsid w:val="00AA472A"/>
    <w:rsid w:val="00AA50FA"/>
    <w:rsid w:val="00AA5F67"/>
    <w:rsid w:val="00AA6739"/>
    <w:rsid w:val="00AA6BF9"/>
    <w:rsid w:val="00AA7E83"/>
    <w:rsid w:val="00AA7F06"/>
    <w:rsid w:val="00AA7F99"/>
    <w:rsid w:val="00AB0FDF"/>
    <w:rsid w:val="00AB1B03"/>
    <w:rsid w:val="00AB4AA8"/>
    <w:rsid w:val="00AB4E62"/>
    <w:rsid w:val="00AB575F"/>
    <w:rsid w:val="00AB58AF"/>
    <w:rsid w:val="00AB5B20"/>
    <w:rsid w:val="00AB60A7"/>
    <w:rsid w:val="00AB704B"/>
    <w:rsid w:val="00AC0D34"/>
    <w:rsid w:val="00AC1D60"/>
    <w:rsid w:val="00AC20FD"/>
    <w:rsid w:val="00AC2BEE"/>
    <w:rsid w:val="00AC2F3D"/>
    <w:rsid w:val="00AC3523"/>
    <w:rsid w:val="00AC36FF"/>
    <w:rsid w:val="00AC4AA7"/>
    <w:rsid w:val="00AC53D2"/>
    <w:rsid w:val="00AC5F6C"/>
    <w:rsid w:val="00AC6552"/>
    <w:rsid w:val="00AC66E8"/>
    <w:rsid w:val="00AC67E7"/>
    <w:rsid w:val="00AC6DAE"/>
    <w:rsid w:val="00AC6EDE"/>
    <w:rsid w:val="00AC7428"/>
    <w:rsid w:val="00AC7A34"/>
    <w:rsid w:val="00AD052D"/>
    <w:rsid w:val="00AD17AA"/>
    <w:rsid w:val="00AD1A8B"/>
    <w:rsid w:val="00AD1F87"/>
    <w:rsid w:val="00AD23D9"/>
    <w:rsid w:val="00AD278A"/>
    <w:rsid w:val="00AD2FA3"/>
    <w:rsid w:val="00AD49FD"/>
    <w:rsid w:val="00AD4ED7"/>
    <w:rsid w:val="00AD58CA"/>
    <w:rsid w:val="00AD6469"/>
    <w:rsid w:val="00AD661D"/>
    <w:rsid w:val="00AD66B4"/>
    <w:rsid w:val="00AD76CE"/>
    <w:rsid w:val="00AE0B3F"/>
    <w:rsid w:val="00AE16B1"/>
    <w:rsid w:val="00AE2A77"/>
    <w:rsid w:val="00AE472A"/>
    <w:rsid w:val="00AE4CEF"/>
    <w:rsid w:val="00AE5037"/>
    <w:rsid w:val="00AE6316"/>
    <w:rsid w:val="00AE6E16"/>
    <w:rsid w:val="00AE77B4"/>
    <w:rsid w:val="00AF07EC"/>
    <w:rsid w:val="00AF0C0E"/>
    <w:rsid w:val="00AF0D08"/>
    <w:rsid w:val="00AF0D49"/>
    <w:rsid w:val="00AF26A3"/>
    <w:rsid w:val="00AF3076"/>
    <w:rsid w:val="00AF30CC"/>
    <w:rsid w:val="00AF328B"/>
    <w:rsid w:val="00AF32A6"/>
    <w:rsid w:val="00AF36A3"/>
    <w:rsid w:val="00AF39A0"/>
    <w:rsid w:val="00AF3FD4"/>
    <w:rsid w:val="00AF5471"/>
    <w:rsid w:val="00AF5ED1"/>
    <w:rsid w:val="00AF5FD1"/>
    <w:rsid w:val="00AF6237"/>
    <w:rsid w:val="00AF641B"/>
    <w:rsid w:val="00AF6C96"/>
    <w:rsid w:val="00AF7A51"/>
    <w:rsid w:val="00AF7F29"/>
    <w:rsid w:val="00B00762"/>
    <w:rsid w:val="00B00ADA"/>
    <w:rsid w:val="00B01032"/>
    <w:rsid w:val="00B024F7"/>
    <w:rsid w:val="00B02818"/>
    <w:rsid w:val="00B04528"/>
    <w:rsid w:val="00B0680B"/>
    <w:rsid w:val="00B06965"/>
    <w:rsid w:val="00B0784D"/>
    <w:rsid w:val="00B07CD9"/>
    <w:rsid w:val="00B1189F"/>
    <w:rsid w:val="00B11D18"/>
    <w:rsid w:val="00B12DB2"/>
    <w:rsid w:val="00B12DF9"/>
    <w:rsid w:val="00B13328"/>
    <w:rsid w:val="00B13FEF"/>
    <w:rsid w:val="00B1415F"/>
    <w:rsid w:val="00B14B9F"/>
    <w:rsid w:val="00B14E7A"/>
    <w:rsid w:val="00B151D2"/>
    <w:rsid w:val="00B15357"/>
    <w:rsid w:val="00B15B8B"/>
    <w:rsid w:val="00B15CB6"/>
    <w:rsid w:val="00B169F3"/>
    <w:rsid w:val="00B16A89"/>
    <w:rsid w:val="00B21773"/>
    <w:rsid w:val="00B2290D"/>
    <w:rsid w:val="00B23409"/>
    <w:rsid w:val="00B238EA"/>
    <w:rsid w:val="00B23CA8"/>
    <w:rsid w:val="00B24B33"/>
    <w:rsid w:val="00B24FF7"/>
    <w:rsid w:val="00B257BE"/>
    <w:rsid w:val="00B27EE9"/>
    <w:rsid w:val="00B30705"/>
    <w:rsid w:val="00B30C12"/>
    <w:rsid w:val="00B3207B"/>
    <w:rsid w:val="00B3317D"/>
    <w:rsid w:val="00B33EFF"/>
    <w:rsid w:val="00B34A75"/>
    <w:rsid w:val="00B3565C"/>
    <w:rsid w:val="00B402DA"/>
    <w:rsid w:val="00B4197D"/>
    <w:rsid w:val="00B42104"/>
    <w:rsid w:val="00B42204"/>
    <w:rsid w:val="00B42C44"/>
    <w:rsid w:val="00B43B59"/>
    <w:rsid w:val="00B441D2"/>
    <w:rsid w:val="00B45B2B"/>
    <w:rsid w:val="00B46626"/>
    <w:rsid w:val="00B4784B"/>
    <w:rsid w:val="00B47AF4"/>
    <w:rsid w:val="00B5044B"/>
    <w:rsid w:val="00B50465"/>
    <w:rsid w:val="00B505BB"/>
    <w:rsid w:val="00B50733"/>
    <w:rsid w:val="00B51CA4"/>
    <w:rsid w:val="00B51EFD"/>
    <w:rsid w:val="00B5310C"/>
    <w:rsid w:val="00B53B8C"/>
    <w:rsid w:val="00B53BCD"/>
    <w:rsid w:val="00B54651"/>
    <w:rsid w:val="00B547BF"/>
    <w:rsid w:val="00B54CD3"/>
    <w:rsid w:val="00B54DD0"/>
    <w:rsid w:val="00B55095"/>
    <w:rsid w:val="00B55510"/>
    <w:rsid w:val="00B56354"/>
    <w:rsid w:val="00B566C4"/>
    <w:rsid w:val="00B56AA5"/>
    <w:rsid w:val="00B57A74"/>
    <w:rsid w:val="00B60D82"/>
    <w:rsid w:val="00B6127C"/>
    <w:rsid w:val="00B613AF"/>
    <w:rsid w:val="00B61479"/>
    <w:rsid w:val="00B61DDD"/>
    <w:rsid w:val="00B6276B"/>
    <w:rsid w:val="00B62DCA"/>
    <w:rsid w:val="00B648A4"/>
    <w:rsid w:val="00B6497E"/>
    <w:rsid w:val="00B6627D"/>
    <w:rsid w:val="00B66C43"/>
    <w:rsid w:val="00B67187"/>
    <w:rsid w:val="00B677B6"/>
    <w:rsid w:val="00B67F49"/>
    <w:rsid w:val="00B71091"/>
    <w:rsid w:val="00B71395"/>
    <w:rsid w:val="00B7151F"/>
    <w:rsid w:val="00B715F9"/>
    <w:rsid w:val="00B71FDF"/>
    <w:rsid w:val="00B7221E"/>
    <w:rsid w:val="00B72A58"/>
    <w:rsid w:val="00B73D98"/>
    <w:rsid w:val="00B74BEB"/>
    <w:rsid w:val="00B7535D"/>
    <w:rsid w:val="00B75646"/>
    <w:rsid w:val="00B759A7"/>
    <w:rsid w:val="00B75F6E"/>
    <w:rsid w:val="00B7612A"/>
    <w:rsid w:val="00B77A0D"/>
    <w:rsid w:val="00B80AE2"/>
    <w:rsid w:val="00B81337"/>
    <w:rsid w:val="00B816FB"/>
    <w:rsid w:val="00B81873"/>
    <w:rsid w:val="00B823D0"/>
    <w:rsid w:val="00B82AD0"/>
    <w:rsid w:val="00B82D47"/>
    <w:rsid w:val="00B83077"/>
    <w:rsid w:val="00B83E28"/>
    <w:rsid w:val="00B84238"/>
    <w:rsid w:val="00B844FC"/>
    <w:rsid w:val="00B845D8"/>
    <w:rsid w:val="00B84A0E"/>
    <w:rsid w:val="00B85619"/>
    <w:rsid w:val="00B8670A"/>
    <w:rsid w:val="00B86A65"/>
    <w:rsid w:val="00B87154"/>
    <w:rsid w:val="00B8780B"/>
    <w:rsid w:val="00B87967"/>
    <w:rsid w:val="00B90596"/>
    <w:rsid w:val="00B920CF"/>
    <w:rsid w:val="00B92337"/>
    <w:rsid w:val="00B93545"/>
    <w:rsid w:val="00B93624"/>
    <w:rsid w:val="00B93840"/>
    <w:rsid w:val="00B93992"/>
    <w:rsid w:val="00B940E0"/>
    <w:rsid w:val="00B95098"/>
    <w:rsid w:val="00B952B6"/>
    <w:rsid w:val="00B958B4"/>
    <w:rsid w:val="00B96388"/>
    <w:rsid w:val="00B966AB"/>
    <w:rsid w:val="00B96FDC"/>
    <w:rsid w:val="00B97A40"/>
    <w:rsid w:val="00B97B35"/>
    <w:rsid w:val="00BA07D8"/>
    <w:rsid w:val="00BA0B80"/>
    <w:rsid w:val="00BA1CD6"/>
    <w:rsid w:val="00BA1D99"/>
    <w:rsid w:val="00BA22E8"/>
    <w:rsid w:val="00BA2D5E"/>
    <w:rsid w:val="00BA3825"/>
    <w:rsid w:val="00BA390B"/>
    <w:rsid w:val="00BA3AC5"/>
    <w:rsid w:val="00BA3AF5"/>
    <w:rsid w:val="00BA5B83"/>
    <w:rsid w:val="00BA5DCF"/>
    <w:rsid w:val="00BA713C"/>
    <w:rsid w:val="00BA752C"/>
    <w:rsid w:val="00BA7A92"/>
    <w:rsid w:val="00BB0455"/>
    <w:rsid w:val="00BB0DD9"/>
    <w:rsid w:val="00BB1868"/>
    <w:rsid w:val="00BB1E9D"/>
    <w:rsid w:val="00BB24E0"/>
    <w:rsid w:val="00BB2A24"/>
    <w:rsid w:val="00BB2E44"/>
    <w:rsid w:val="00BB3102"/>
    <w:rsid w:val="00BB3B3A"/>
    <w:rsid w:val="00BB3CD8"/>
    <w:rsid w:val="00BB4536"/>
    <w:rsid w:val="00BB4572"/>
    <w:rsid w:val="00BB57F1"/>
    <w:rsid w:val="00BB590D"/>
    <w:rsid w:val="00BB75F1"/>
    <w:rsid w:val="00BB7DDB"/>
    <w:rsid w:val="00BC00A1"/>
    <w:rsid w:val="00BC0CD7"/>
    <w:rsid w:val="00BC11EB"/>
    <w:rsid w:val="00BC1822"/>
    <w:rsid w:val="00BC311E"/>
    <w:rsid w:val="00BC3426"/>
    <w:rsid w:val="00BC37EC"/>
    <w:rsid w:val="00BC3A9A"/>
    <w:rsid w:val="00BC49EC"/>
    <w:rsid w:val="00BC5065"/>
    <w:rsid w:val="00BC550F"/>
    <w:rsid w:val="00BC5AD4"/>
    <w:rsid w:val="00BD129F"/>
    <w:rsid w:val="00BD1CC2"/>
    <w:rsid w:val="00BD24B6"/>
    <w:rsid w:val="00BD286C"/>
    <w:rsid w:val="00BD428E"/>
    <w:rsid w:val="00BD571F"/>
    <w:rsid w:val="00BD5BCB"/>
    <w:rsid w:val="00BD6473"/>
    <w:rsid w:val="00BD75B7"/>
    <w:rsid w:val="00BE07CD"/>
    <w:rsid w:val="00BE0D4B"/>
    <w:rsid w:val="00BE0F15"/>
    <w:rsid w:val="00BE1C16"/>
    <w:rsid w:val="00BE22FB"/>
    <w:rsid w:val="00BE24FF"/>
    <w:rsid w:val="00BE2617"/>
    <w:rsid w:val="00BE32F1"/>
    <w:rsid w:val="00BE4011"/>
    <w:rsid w:val="00BE584E"/>
    <w:rsid w:val="00BE625E"/>
    <w:rsid w:val="00BE6362"/>
    <w:rsid w:val="00BE6369"/>
    <w:rsid w:val="00BE695E"/>
    <w:rsid w:val="00BE7514"/>
    <w:rsid w:val="00BF1C48"/>
    <w:rsid w:val="00BF26D1"/>
    <w:rsid w:val="00BF3032"/>
    <w:rsid w:val="00BF376B"/>
    <w:rsid w:val="00BF4A86"/>
    <w:rsid w:val="00BF5023"/>
    <w:rsid w:val="00BF7006"/>
    <w:rsid w:val="00BF7EA6"/>
    <w:rsid w:val="00C00798"/>
    <w:rsid w:val="00C022BC"/>
    <w:rsid w:val="00C022D6"/>
    <w:rsid w:val="00C034DA"/>
    <w:rsid w:val="00C0513B"/>
    <w:rsid w:val="00C06D7E"/>
    <w:rsid w:val="00C070F1"/>
    <w:rsid w:val="00C07166"/>
    <w:rsid w:val="00C076A5"/>
    <w:rsid w:val="00C07729"/>
    <w:rsid w:val="00C100E8"/>
    <w:rsid w:val="00C137D4"/>
    <w:rsid w:val="00C14067"/>
    <w:rsid w:val="00C15D4F"/>
    <w:rsid w:val="00C16258"/>
    <w:rsid w:val="00C164EE"/>
    <w:rsid w:val="00C175EF"/>
    <w:rsid w:val="00C17646"/>
    <w:rsid w:val="00C207A2"/>
    <w:rsid w:val="00C207F8"/>
    <w:rsid w:val="00C2081D"/>
    <w:rsid w:val="00C20C1D"/>
    <w:rsid w:val="00C21890"/>
    <w:rsid w:val="00C22177"/>
    <w:rsid w:val="00C22B1D"/>
    <w:rsid w:val="00C22B8B"/>
    <w:rsid w:val="00C22DE1"/>
    <w:rsid w:val="00C25C47"/>
    <w:rsid w:val="00C269B3"/>
    <w:rsid w:val="00C26E1C"/>
    <w:rsid w:val="00C309FB"/>
    <w:rsid w:val="00C3237B"/>
    <w:rsid w:val="00C329C2"/>
    <w:rsid w:val="00C331EA"/>
    <w:rsid w:val="00C33800"/>
    <w:rsid w:val="00C34088"/>
    <w:rsid w:val="00C34541"/>
    <w:rsid w:val="00C36817"/>
    <w:rsid w:val="00C36B1E"/>
    <w:rsid w:val="00C36C63"/>
    <w:rsid w:val="00C36E91"/>
    <w:rsid w:val="00C402BA"/>
    <w:rsid w:val="00C423F7"/>
    <w:rsid w:val="00C4251E"/>
    <w:rsid w:val="00C43D23"/>
    <w:rsid w:val="00C44F1A"/>
    <w:rsid w:val="00C4561C"/>
    <w:rsid w:val="00C4598D"/>
    <w:rsid w:val="00C45AB0"/>
    <w:rsid w:val="00C476A3"/>
    <w:rsid w:val="00C504DE"/>
    <w:rsid w:val="00C5236B"/>
    <w:rsid w:val="00C527E6"/>
    <w:rsid w:val="00C52EF1"/>
    <w:rsid w:val="00C53109"/>
    <w:rsid w:val="00C54086"/>
    <w:rsid w:val="00C54C4A"/>
    <w:rsid w:val="00C54C7E"/>
    <w:rsid w:val="00C55305"/>
    <w:rsid w:val="00C557C9"/>
    <w:rsid w:val="00C55BEF"/>
    <w:rsid w:val="00C5634C"/>
    <w:rsid w:val="00C56744"/>
    <w:rsid w:val="00C56901"/>
    <w:rsid w:val="00C569FB"/>
    <w:rsid w:val="00C571A6"/>
    <w:rsid w:val="00C572D9"/>
    <w:rsid w:val="00C57E51"/>
    <w:rsid w:val="00C6076F"/>
    <w:rsid w:val="00C6108D"/>
    <w:rsid w:val="00C61137"/>
    <w:rsid w:val="00C62326"/>
    <w:rsid w:val="00C624E8"/>
    <w:rsid w:val="00C62823"/>
    <w:rsid w:val="00C6435E"/>
    <w:rsid w:val="00C64B8A"/>
    <w:rsid w:val="00C65522"/>
    <w:rsid w:val="00C65A27"/>
    <w:rsid w:val="00C65B32"/>
    <w:rsid w:val="00C65B5A"/>
    <w:rsid w:val="00C66E64"/>
    <w:rsid w:val="00C67EFA"/>
    <w:rsid w:val="00C70D19"/>
    <w:rsid w:val="00C71359"/>
    <w:rsid w:val="00C7161C"/>
    <w:rsid w:val="00C72DFD"/>
    <w:rsid w:val="00C73143"/>
    <w:rsid w:val="00C731D1"/>
    <w:rsid w:val="00C734A4"/>
    <w:rsid w:val="00C743B3"/>
    <w:rsid w:val="00C75503"/>
    <w:rsid w:val="00C763D3"/>
    <w:rsid w:val="00C76E4A"/>
    <w:rsid w:val="00C77DA5"/>
    <w:rsid w:val="00C80343"/>
    <w:rsid w:val="00C808AF"/>
    <w:rsid w:val="00C817E2"/>
    <w:rsid w:val="00C8276A"/>
    <w:rsid w:val="00C82FC7"/>
    <w:rsid w:val="00C84768"/>
    <w:rsid w:val="00C84949"/>
    <w:rsid w:val="00C84E4A"/>
    <w:rsid w:val="00C84ED3"/>
    <w:rsid w:val="00C854C0"/>
    <w:rsid w:val="00C856F9"/>
    <w:rsid w:val="00C85C95"/>
    <w:rsid w:val="00C85FE8"/>
    <w:rsid w:val="00C86829"/>
    <w:rsid w:val="00C901D6"/>
    <w:rsid w:val="00C906E2"/>
    <w:rsid w:val="00C90AB1"/>
    <w:rsid w:val="00C92CA4"/>
    <w:rsid w:val="00C93B87"/>
    <w:rsid w:val="00C93E01"/>
    <w:rsid w:val="00C93FF9"/>
    <w:rsid w:val="00C9458C"/>
    <w:rsid w:val="00C94C5B"/>
    <w:rsid w:val="00C95CA0"/>
    <w:rsid w:val="00C96809"/>
    <w:rsid w:val="00C969BB"/>
    <w:rsid w:val="00C97015"/>
    <w:rsid w:val="00C97516"/>
    <w:rsid w:val="00C976E7"/>
    <w:rsid w:val="00CA09B0"/>
    <w:rsid w:val="00CA0D46"/>
    <w:rsid w:val="00CA0FC3"/>
    <w:rsid w:val="00CA261A"/>
    <w:rsid w:val="00CA5DE5"/>
    <w:rsid w:val="00CA5EDD"/>
    <w:rsid w:val="00CA6389"/>
    <w:rsid w:val="00CA65F2"/>
    <w:rsid w:val="00CA719B"/>
    <w:rsid w:val="00CA74D0"/>
    <w:rsid w:val="00CA7EB4"/>
    <w:rsid w:val="00CB05B6"/>
    <w:rsid w:val="00CB083E"/>
    <w:rsid w:val="00CB0AE8"/>
    <w:rsid w:val="00CB10B8"/>
    <w:rsid w:val="00CB1AC3"/>
    <w:rsid w:val="00CB2599"/>
    <w:rsid w:val="00CB3470"/>
    <w:rsid w:val="00CB388F"/>
    <w:rsid w:val="00CB39A0"/>
    <w:rsid w:val="00CB4383"/>
    <w:rsid w:val="00CB5786"/>
    <w:rsid w:val="00CB586C"/>
    <w:rsid w:val="00CB5B9B"/>
    <w:rsid w:val="00CB5F87"/>
    <w:rsid w:val="00CB64B9"/>
    <w:rsid w:val="00CB64FD"/>
    <w:rsid w:val="00CB6BA0"/>
    <w:rsid w:val="00CB705A"/>
    <w:rsid w:val="00CC01DE"/>
    <w:rsid w:val="00CC0A53"/>
    <w:rsid w:val="00CC166E"/>
    <w:rsid w:val="00CC1996"/>
    <w:rsid w:val="00CC1E55"/>
    <w:rsid w:val="00CC1ED2"/>
    <w:rsid w:val="00CC2995"/>
    <w:rsid w:val="00CC2D39"/>
    <w:rsid w:val="00CC313D"/>
    <w:rsid w:val="00CC54CA"/>
    <w:rsid w:val="00CD02A0"/>
    <w:rsid w:val="00CD0471"/>
    <w:rsid w:val="00CD0DF4"/>
    <w:rsid w:val="00CD17B0"/>
    <w:rsid w:val="00CD2CE1"/>
    <w:rsid w:val="00CD31CE"/>
    <w:rsid w:val="00CD4001"/>
    <w:rsid w:val="00CD48C6"/>
    <w:rsid w:val="00CD4BBD"/>
    <w:rsid w:val="00CD5A28"/>
    <w:rsid w:val="00CD6BA1"/>
    <w:rsid w:val="00CD7129"/>
    <w:rsid w:val="00CE051B"/>
    <w:rsid w:val="00CE11A4"/>
    <w:rsid w:val="00CE1E7B"/>
    <w:rsid w:val="00CE28B0"/>
    <w:rsid w:val="00CE2E82"/>
    <w:rsid w:val="00CE3EC1"/>
    <w:rsid w:val="00CE5087"/>
    <w:rsid w:val="00CE5DFC"/>
    <w:rsid w:val="00CE5E85"/>
    <w:rsid w:val="00CE68B3"/>
    <w:rsid w:val="00CE7237"/>
    <w:rsid w:val="00CE78F2"/>
    <w:rsid w:val="00CF0357"/>
    <w:rsid w:val="00CF0D9A"/>
    <w:rsid w:val="00CF1D27"/>
    <w:rsid w:val="00CF24B8"/>
    <w:rsid w:val="00CF2E51"/>
    <w:rsid w:val="00CF31AA"/>
    <w:rsid w:val="00CF3252"/>
    <w:rsid w:val="00CF3BDD"/>
    <w:rsid w:val="00CF3C2A"/>
    <w:rsid w:val="00CF42D3"/>
    <w:rsid w:val="00CF45E9"/>
    <w:rsid w:val="00CF67A9"/>
    <w:rsid w:val="00CF67B9"/>
    <w:rsid w:val="00CF6D37"/>
    <w:rsid w:val="00D01695"/>
    <w:rsid w:val="00D018BD"/>
    <w:rsid w:val="00D019FF"/>
    <w:rsid w:val="00D01D3E"/>
    <w:rsid w:val="00D04281"/>
    <w:rsid w:val="00D04EF2"/>
    <w:rsid w:val="00D06BD3"/>
    <w:rsid w:val="00D0769C"/>
    <w:rsid w:val="00D0789A"/>
    <w:rsid w:val="00D10FA7"/>
    <w:rsid w:val="00D12CF9"/>
    <w:rsid w:val="00D12ED5"/>
    <w:rsid w:val="00D1310D"/>
    <w:rsid w:val="00D13FC8"/>
    <w:rsid w:val="00D14227"/>
    <w:rsid w:val="00D14480"/>
    <w:rsid w:val="00D1476A"/>
    <w:rsid w:val="00D1627E"/>
    <w:rsid w:val="00D16E2B"/>
    <w:rsid w:val="00D20458"/>
    <w:rsid w:val="00D206BC"/>
    <w:rsid w:val="00D219BA"/>
    <w:rsid w:val="00D21B0F"/>
    <w:rsid w:val="00D221F0"/>
    <w:rsid w:val="00D22C86"/>
    <w:rsid w:val="00D2333A"/>
    <w:rsid w:val="00D244F9"/>
    <w:rsid w:val="00D26778"/>
    <w:rsid w:val="00D3147B"/>
    <w:rsid w:val="00D31551"/>
    <w:rsid w:val="00D31A59"/>
    <w:rsid w:val="00D3298D"/>
    <w:rsid w:val="00D32B62"/>
    <w:rsid w:val="00D33540"/>
    <w:rsid w:val="00D33CB9"/>
    <w:rsid w:val="00D4041E"/>
    <w:rsid w:val="00D4125A"/>
    <w:rsid w:val="00D4127D"/>
    <w:rsid w:val="00D43A08"/>
    <w:rsid w:val="00D43FF5"/>
    <w:rsid w:val="00D441FF"/>
    <w:rsid w:val="00D44370"/>
    <w:rsid w:val="00D4469B"/>
    <w:rsid w:val="00D4476F"/>
    <w:rsid w:val="00D4488A"/>
    <w:rsid w:val="00D452E3"/>
    <w:rsid w:val="00D452EA"/>
    <w:rsid w:val="00D461D6"/>
    <w:rsid w:val="00D47793"/>
    <w:rsid w:val="00D501A0"/>
    <w:rsid w:val="00D511E8"/>
    <w:rsid w:val="00D51387"/>
    <w:rsid w:val="00D51E5D"/>
    <w:rsid w:val="00D51F4C"/>
    <w:rsid w:val="00D529B9"/>
    <w:rsid w:val="00D52A4D"/>
    <w:rsid w:val="00D53279"/>
    <w:rsid w:val="00D53834"/>
    <w:rsid w:val="00D547B3"/>
    <w:rsid w:val="00D55B15"/>
    <w:rsid w:val="00D57424"/>
    <w:rsid w:val="00D57980"/>
    <w:rsid w:val="00D62711"/>
    <w:rsid w:val="00D62E9B"/>
    <w:rsid w:val="00D62FCA"/>
    <w:rsid w:val="00D630F3"/>
    <w:rsid w:val="00D63509"/>
    <w:rsid w:val="00D639BA"/>
    <w:rsid w:val="00D63C9C"/>
    <w:rsid w:val="00D647E5"/>
    <w:rsid w:val="00D66168"/>
    <w:rsid w:val="00D66D65"/>
    <w:rsid w:val="00D67463"/>
    <w:rsid w:val="00D6763F"/>
    <w:rsid w:val="00D678CE"/>
    <w:rsid w:val="00D679C4"/>
    <w:rsid w:val="00D70A0C"/>
    <w:rsid w:val="00D70F59"/>
    <w:rsid w:val="00D713AA"/>
    <w:rsid w:val="00D7219C"/>
    <w:rsid w:val="00D721D6"/>
    <w:rsid w:val="00D7275C"/>
    <w:rsid w:val="00D729BE"/>
    <w:rsid w:val="00D7358D"/>
    <w:rsid w:val="00D73692"/>
    <w:rsid w:val="00D7371B"/>
    <w:rsid w:val="00D75730"/>
    <w:rsid w:val="00D757E7"/>
    <w:rsid w:val="00D77997"/>
    <w:rsid w:val="00D80356"/>
    <w:rsid w:val="00D808F4"/>
    <w:rsid w:val="00D8124C"/>
    <w:rsid w:val="00D81628"/>
    <w:rsid w:val="00D82C40"/>
    <w:rsid w:val="00D84439"/>
    <w:rsid w:val="00D84B43"/>
    <w:rsid w:val="00D84DD8"/>
    <w:rsid w:val="00D851C9"/>
    <w:rsid w:val="00D8592A"/>
    <w:rsid w:val="00D86211"/>
    <w:rsid w:val="00D866A8"/>
    <w:rsid w:val="00D86B1C"/>
    <w:rsid w:val="00D87EA5"/>
    <w:rsid w:val="00D90885"/>
    <w:rsid w:val="00D91692"/>
    <w:rsid w:val="00D91AB6"/>
    <w:rsid w:val="00D94699"/>
    <w:rsid w:val="00D94F6F"/>
    <w:rsid w:val="00D95382"/>
    <w:rsid w:val="00D969A0"/>
    <w:rsid w:val="00D96A6C"/>
    <w:rsid w:val="00D96C7D"/>
    <w:rsid w:val="00D97AA0"/>
    <w:rsid w:val="00DA0C2C"/>
    <w:rsid w:val="00DA0E6E"/>
    <w:rsid w:val="00DA1DBA"/>
    <w:rsid w:val="00DA2050"/>
    <w:rsid w:val="00DA2573"/>
    <w:rsid w:val="00DA26CC"/>
    <w:rsid w:val="00DA3D0D"/>
    <w:rsid w:val="00DA5165"/>
    <w:rsid w:val="00DA5FC8"/>
    <w:rsid w:val="00DA633A"/>
    <w:rsid w:val="00DA66CD"/>
    <w:rsid w:val="00DA68D4"/>
    <w:rsid w:val="00DA7BC5"/>
    <w:rsid w:val="00DA7F31"/>
    <w:rsid w:val="00DB0A26"/>
    <w:rsid w:val="00DB0C72"/>
    <w:rsid w:val="00DB0CE4"/>
    <w:rsid w:val="00DB1839"/>
    <w:rsid w:val="00DB1FF5"/>
    <w:rsid w:val="00DB561F"/>
    <w:rsid w:val="00DB5B95"/>
    <w:rsid w:val="00DB781D"/>
    <w:rsid w:val="00DC05BF"/>
    <w:rsid w:val="00DC1892"/>
    <w:rsid w:val="00DC3FE9"/>
    <w:rsid w:val="00DD01AB"/>
    <w:rsid w:val="00DD1153"/>
    <w:rsid w:val="00DD135D"/>
    <w:rsid w:val="00DD33EF"/>
    <w:rsid w:val="00DD35D8"/>
    <w:rsid w:val="00DD3CB0"/>
    <w:rsid w:val="00DD42B5"/>
    <w:rsid w:val="00DD5C6E"/>
    <w:rsid w:val="00DD5F52"/>
    <w:rsid w:val="00DD6237"/>
    <w:rsid w:val="00DD715E"/>
    <w:rsid w:val="00DD7199"/>
    <w:rsid w:val="00DE2C55"/>
    <w:rsid w:val="00DE362D"/>
    <w:rsid w:val="00DE3C45"/>
    <w:rsid w:val="00DE4381"/>
    <w:rsid w:val="00DE43B1"/>
    <w:rsid w:val="00DE45A6"/>
    <w:rsid w:val="00DE4669"/>
    <w:rsid w:val="00DE5F6F"/>
    <w:rsid w:val="00DE733B"/>
    <w:rsid w:val="00DE7EE8"/>
    <w:rsid w:val="00DF1DA7"/>
    <w:rsid w:val="00DF21F8"/>
    <w:rsid w:val="00DF234A"/>
    <w:rsid w:val="00DF2D37"/>
    <w:rsid w:val="00DF35B9"/>
    <w:rsid w:val="00DF3AF6"/>
    <w:rsid w:val="00DF3D6C"/>
    <w:rsid w:val="00DF490D"/>
    <w:rsid w:val="00DF6747"/>
    <w:rsid w:val="00DF73B0"/>
    <w:rsid w:val="00E01BC3"/>
    <w:rsid w:val="00E0236F"/>
    <w:rsid w:val="00E03268"/>
    <w:rsid w:val="00E03F8F"/>
    <w:rsid w:val="00E04C50"/>
    <w:rsid w:val="00E053B4"/>
    <w:rsid w:val="00E05C0D"/>
    <w:rsid w:val="00E05DC1"/>
    <w:rsid w:val="00E0620B"/>
    <w:rsid w:val="00E071E9"/>
    <w:rsid w:val="00E07DB2"/>
    <w:rsid w:val="00E102FB"/>
    <w:rsid w:val="00E1044A"/>
    <w:rsid w:val="00E11FB9"/>
    <w:rsid w:val="00E12D4C"/>
    <w:rsid w:val="00E14654"/>
    <w:rsid w:val="00E14970"/>
    <w:rsid w:val="00E16639"/>
    <w:rsid w:val="00E16D2C"/>
    <w:rsid w:val="00E20FDB"/>
    <w:rsid w:val="00E2193F"/>
    <w:rsid w:val="00E21EF3"/>
    <w:rsid w:val="00E23500"/>
    <w:rsid w:val="00E23D3B"/>
    <w:rsid w:val="00E23E00"/>
    <w:rsid w:val="00E24C3A"/>
    <w:rsid w:val="00E24E18"/>
    <w:rsid w:val="00E253EC"/>
    <w:rsid w:val="00E25E75"/>
    <w:rsid w:val="00E26ED4"/>
    <w:rsid w:val="00E27B0A"/>
    <w:rsid w:val="00E32E72"/>
    <w:rsid w:val="00E33686"/>
    <w:rsid w:val="00E33A49"/>
    <w:rsid w:val="00E34476"/>
    <w:rsid w:val="00E35B6F"/>
    <w:rsid w:val="00E35D7B"/>
    <w:rsid w:val="00E37500"/>
    <w:rsid w:val="00E37F40"/>
    <w:rsid w:val="00E404E7"/>
    <w:rsid w:val="00E41130"/>
    <w:rsid w:val="00E4135A"/>
    <w:rsid w:val="00E427A4"/>
    <w:rsid w:val="00E42EAA"/>
    <w:rsid w:val="00E431F0"/>
    <w:rsid w:val="00E447EF"/>
    <w:rsid w:val="00E452B8"/>
    <w:rsid w:val="00E4604F"/>
    <w:rsid w:val="00E46493"/>
    <w:rsid w:val="00E4790A"/>
    <w:rsid w:val="00E500E2"/>
    <w:rsid w:val="00E50C73"/>
    <w:rsid w:val="00E50E82"/>
    <w:rsid w:val="00E512EF"/>
    <w:rsid w:val="00E514EC"/>
    <w:rsid w:val="00E5275A"/>
    <w:rsid w:val="00E52EB1"/>
    <w:rsid w:val="00E5346C"/>
    <w:rsid w:val="00E53575"/>
    <w:rsid w:val="00E53A3A"/>
    <w:rsid w:val="00E56BB8"/>
    <w:rsid w:val="00E57538"/>
    <w:rsid w:val="00E5785A"/>
    <w:rsid w:val="00E60354"/>
    <w:rsid w:val="00E60F77"/>
    <w:rsid w:val="00E61CF4"/>
    <w:rsid w:val="00E6218A"/>
    <w:rsid w:val="00E622B1"/>
    <w:rsid w:val="00E635EC"/>
    <w:rsid w:val="00E64914"/>
    <w:rsid w:val="00E64CDE"/>
    <w:rsid w:val="00E64F72"/>
    <w:rsid w:val="00E66311"/>
    <w:rsid w:val="00E66BFB"/>
    <w:rsid w:val="00E66D20"/>
    <w:rsid w:val="00E70703"/>
    <w:rsid w:val="00E71CF9"/>
    <w:rsid w:val="00E72EC6"/>
    <w:rsid w:val="00E73D09"/>
    <w:rsid w:val="00E747F0"/>
    <w:rsid w:val="00E75121"/>
    <w:rsid w:val="00E76F10"/>
    <w:rsid w:val="00E7770E"/>
    <w:rsid w:val="00E77E57"/>
    <w:rsid w:val="00E80164"/>
    <w:rsid w:val="00E8051E"/>
    <w:rsid w:val="00E806A7"/>
    <w:rsid w:val="00E81291"/>
    <w:rsid w:val="00E8139F"/>
    <w:rsid w:val="00E84D12"/>
    <w:rsid w:val="00E86100"/>
    <w:rsid w:val="00E86B7C"/>
    <w:rsid w:val="00E86C36"/>
    <w:rsid w:val="00E8789D"/>
    <w:rsid w:val="00E87D1A"/>
    <w:rsid w:val="00E9134A"/>
    <w:rsid w:val="00E91EC2"/>
    <w:rsid w:val="00E93CE1"/>
    <w:rsid w:val="00E93D33"/>
    <w:rsid w:val="00E94B3F"/>
    <w:rsid w:val="00E956C9"/>
    <w:rsid w:val="00E95D0C"/>
    <w:rsid w:val="00E95FB6"/>
    <w:rsid w:val="00E964A9"/>
    <w:rsid w:val="00E9663C"/>
    <w:rsid w:val="00E9688D"/>
    <w:rsid w:val="00E96C86"/>
    <w:rsid w:val="00E96E3A"/>
    <w:rsid w:val="00E977FD"/>
    <w:rsid w:val="00EA06BB"/>
    <w:rsid w:val="00EA0971"/>
    <w:rsid w:val="00EA112D"/>
    <w:rsid w:val="00EA1475"/>
    <w:rsid w:val="00EA38F0"/>
    <w:rsid w:val="00EA3EF4"/>
    <w:rsid w:val="00EA4143"/>
    <w:rsid w:val="00EA5214"/>
    <w:rsid w:val="00EA6E20"/>
    <w:rsid w:val="00EA714F"/>
    <w:rsid w:val="00EA7344"/>
    <w:rsid w:val="00EB0852"/>
    <w:rsid w:val="00EB091A"/>
    <w:rsid w:val="00EB0F0E"/>
    <w:rsid w:val="00EB449B"/>
    <w:rsid w:val="00EB49A7"/>
    <w:rsid w:val="00EB55F4"/>
    <w:rsid w:val="00EB6B73"/>
    <w:rsid w:val="00EB71EB"/>
    <w:rsid w:val="00EB7D0C"/>
    <w:rsid w:val="00EC121C"/>
    <w:rsid w:val="00EC16C7"/>
    <w:rsid w:val="00EC2133"/>
    <w:rsid w:val="00EC3623"/>
    <w:rsid w:val="00EC52B3"/>
    <w:rsid w:val="00EC56DE"/>
    <w:rsid w:val="00EC69D0"/>
    <w:rsid w:val="00EC6E70"/>
    <w:rsid w:val="00EC73DD"/>
    <w:rsid w:val="00EC7B6E"/>
    <w:rsid w:val="00ED1ABD"/>
    <w:rsid w:val="00ED1E90"/>
    <w:rsid w:val="00ED2D0F"/>
    <w:rsid w:val="00ED345D"/>
    <w:rsid w:val="00ED4077"/>
    <w:rsid w:val="00ED5B61"/>
    <w:rsid w:val="00ED7BD6"/>
    <w:rsid w:val="00ED7D02"/>
    <w:rsid w:val="00EE215F"/>
    <w:rsid w:val="00EE22C8"/>
    <w:rsid w:val="00EE3A57"/>
    <w:rsid w:val="00EE4806"/>
    <w:rsid w:val="00EE519E"/>
    <w:rsid w:val="00EE61EE"/>
    <w:rsid w:val="00EE664D"/>
    <w:rsid w:val="00EE6787"/>
    <w:rsid w:val="00EE6BF0"/>
    <w:rsid w:val="00EE6E59"/>
    <w:rsid w:val="00EE6E5D"/>
    <w:rsid w:val="00EE73C5"/>
    <w:rsid w:val="00EE7C82"/>
    <w:rsid w:val="00EE7D8F"/>
    <w:rsid w:val="00EF144E"/>
    <w:rsid w:val="00EF1466"/>
    <w:rsid w:val="00EF1566"/>
    <w:rsid w:val="00EF2896"/>
    <w:rsid w:val="00EF28D8"/>
    <w:rsid w:val="00EF3C60"/>
    <w:rsid w:val="00EF3F93"/>
    <w:rsid w:val="00EF4B50"/>
    <w:rsid w:val="00EF4CDD"/>
    <w:rsid w:val="00EF55BE"/>
    <w:rsid w:val="00EF6453"/>
    <w:rsid w:val="00EF6AD4"/>
    <w:rsid w:val="00EF751D"/>
    <w:rsid w:val="00EF75D2"/>
    <w:rsid w:val="00EF7939"/>
    <w:rsid w:val="00F034DB"/>
    <w:rsid w:val="00F04005"/>
    <w:rsid w:val="00F05095"/>
    <w:rsid w:val="00F056CE"/>
    <w:rsid w:val="00F06B45"/>
    <w:rsid w:val="00F12983"/>
    <w:rsid w:val="00F12BDB"/>
    <w:rsid w:val="00F13064"/>
    <w:rsid w:val="00F15B88"/>
    <w:rsid w:val="00F16FA0"/>
    <w:rsid w:val="00F17555"/>
    <w:rsid w:val="00F175B7"/>
    <w:rsid w:val="00F206B9"/>
    <w:rsid w:val="00F20BFC"/>
    <w:rsid w:val="00F2129A"/>
    <w:rsid w:val="00F232B6"/>
    <w:rsid w:val="00F23595"/>
    <w:rsid w:val="00F23B4D"/>
    <w:rsid w:val="00F25386"/>
    <w:rsid w:val="00F25613"/>
    <w:rsid w:val="00F259FF"/>
    <w:rsid w:val="00F25E90"/>
    <w:rsid w:val="00F260D7"/>
    <w:rsid w:val="00F26A2B"/>
    <w:rsid w:val="00F26CFB"/>
    <w:rsid w:val="00F279C2"/>
    <w:rsid w:val="00F27A50"/>
    <w:rsid w:val="00F27DE8"/>
    <w:rsid w:val="00F30517"/>
    <w:rsid w:val="00F31AF8"/>
    <w:rsid w:val="00F32213"/>
    <w:rsid w:val="00F329A7"/>
    <w:rsid w:val="00F32AB0"/>
    <w:rsid w:val="00F32DDD"/>
    <w:rsid w:val="00F32F4F"/>
    <w:rsid w:val="00F3386D"/>
    <w:rsid w:val="00F3411D"/>
    <w:rsid w:val="00F35993"/>
    <w:rsid w:val="00F3796C"/>
    <w:rsid w:val="00F37D21"/>
    <w:rsid w:val="00F37E6E"/>
    <w:rsid w:val="00F40043"/>
    <w:rsid w:val="00F40EEE"/>
    <w:rsid w:val="00F40F38"/>
    <w:rsid w:val="00F413FB"/>
    <w:rsid w:val="00F41454"/>
    <w:rsid w:val="00F422C3"/>
    <w:rsid w:val="00F429BD"/>
    <w:rsid w:val="00F43B66"/>
    <w:rsid w:val="00F44093"/>
    <w:rsid w:val="00F4458A"/>
    <w:rsid w:val="00F45232"/>
    <w:rsid w:val="00F45DB2"/>
    <w:rsid w:val="00F4604F"/>
    <w:rsid w:val="00F50906"/>
    <w:rsid w:val="00F50AFD"/>
    <w:rsid w:val="00F51CD5"/>
    <w:rsid w:val="00F52EC5"/>
    <w:rsid w:val="00F53BF4"/>
    <w:rsid w:val="00F53F38"/>
    <w:rsid w:val="00F54006"/>
    <w:rsid w:val="00F54241"/>
    <w:rsid w:val="00F56125"/>
    <w:rsid w:val="00F56D0B"/>
    <w:rsid w:val="00F57675"/>
    <w:rsid w:val="00F608B7"/>
    <w:rsid w:val="00F60C33"/>
    <w:rsid w:val="00F614FB"/>
    <w:rsid w:val="00F6163E"/>
    <w:rsid w:val="00F61F72"/>
    <w:rsid w:val="00F63161"/>
    <w:rsid w:val="00F63C1D"/>
    <w:rsid w:val="00F63E68"/>
    <w:rsid w:val="00F6410D"/>
    <w:rsid w:val="00F676A0"/>
    <w:rsid w:val="00F67BA3"/>
    <w:rsid w:val="00F67E22"/>
    <w:rsid w:val="00F70421"/>
    <w:rsid w:val="00F70948"/>
    <w:rsid w:val="00F71762"/>
    <w:rsid w:val="00F720D4"/>
    <w:rsid w:val="00F722A8"/>
    <w:rsid w:val="00F723E9"/>
    <w:rsid w:val="00F72653"/>
    <w:rsid w:val="00F73244"/>
    <w:rsid w:val="00F738B6"/>
    <w:rsid w:val="00F74E5B"/>
    <w:rsid w:val="00F75656"/>
    <w:rsid w:val="00F76923"/>
    <w:rsid w:val="00F8426D"/>
    <w:rsid w:val="00F84FC7"/>
    <w:rsid w:val="00F85E29"/>
    <w:rsid w:val="00F85FBA"/>
    <w:rsid w:val="00F90404"/>
    <w:rsid w:val="00F90930"/>
    <w:rsid w:val="00F918B2"/>
    <w:rsid w:val="00F928DF"/>
    <w:rsid w:val="00F92CE0"/>
    <w:rsid w:val="00F94D99"/>
    <w:rsid w:val="00F94DCC"/>
    <w:rsid w:val="00F95093"/>
    <w:rsid w:val="00F9614D"/>
    <w:rsid w:val="00F97462"/>
    <w:rsid w:val="00F97DAD"/>
    <w:rsid w:val="00FA01FE"/>
    <w:rsid w:val="00FA088D"/>
    <w:rsid w:val="00FA1EC1"/>
    <w:rsid w:val="00FA229A"/>
    <w:rsid w:val="00FA2E91"/>
    <w:rsid w:val="00FA3252"/>
    <w:rsid w:val="00FA3A41"/>
    <w:rsid w:val="00FA3C77"/>
    <w:rsid w:val="00FA4BC0"/>
    <w:rsid w:val="00FA5AE1"/>
    <w:rsid w:val="00FA5DD8"/>
    <w:rsid w:val="00FA64BC"/>
    <w:rsid w:val="00FA7B86"/>
    <w:rsid w:val="00FB06B0"/>
    <w:rsid w:val="00FB1165"/>
    <w:rsid w:val="00FB18F0"/>
    <w:rsid w:val="00FB2CD2"/>
    <w:rsid w:val="00FB2F82"/>
    <w:rsid w:val="00FB387E"/>
    <w:rsid w:val="00FB4092"/>
    <w:rsid w:val="00FB50E4"/>
    <w:rsid w:val="00FB5970"/>
    <w:rsid w:val="00FB63E9"/>
    <w:rsid w:val="00FB7860"/>
    <w:rsid w:val="00FB7CDA"/>
    <w:rsid w:val="00FC035E"/>
    <w:rsid w:val="00FC06D4"/>
    <w:rsid w:val="00FC0D25"/>
    <w:rsid w:val="00FC2D54"/>
    <w:rsid w:val="00FC33FA"/>
    <w:rsid w:val="00FC4400"/>
    <w:rsid w:val="00FC45F4"/>
    <w:rsid w:val="00FC4974"/>
    <w:rsid w:val="00FD0C7A"/>
    <w:rsid w:val="00FD1821"/>
    <w:rsid w:val="00FD2B12"/>
    <w:rsid w:val="00FD4CDA"/>
    <w:rsid w:val="00FD5050"/>
    <w:rsid w:val="00FD54D3"/>
    <w:rsid w:val="00FD6442"/>
    <w:rsid w:val="00FD66BE"/>
    <w:rsid w:val="00FD7666"/>
    <w:rsid w:val="00FE02A3"/>
    <w:rsid w:val="00FE21F6"/>
    <w:rsid w:val="00FE244E"/>
    <w:rsid w:val="00FE4A2E"/>
    <w:rsid w:val="00FE5569"/>
    <w:rsid w:val="00FE6B9F"/>
    <w:rsid w:val="00FF0494"/>
    <w:rsid w:val="00FF0719"/>
    <w:rsid w:val="00FF13D0"/>
    <w:rsid w:val="00FF1526"/>
    <w:rsid w:val="00FF2256"/>
    <w:rsid w:val="00FF4309"/>
    <w:rsid w:val="00FF508E"/>
    <w:rsid w:val="00FF5983"/>
    <w:rsid w:val="00FF68FD"/>
    <w:rsid w:val="00FF6E6B"/>
    <w:rsid w:val="00FF768A"/>
    <w:rsid w:val="0BE659FB"/>
    <w:rsid w:val="2D75493C"/>
    <w:rsid w:val="438D7D1A"/>
    <w:rsid w:val="5B122E82"/>
    <w:rsid w:val="5FED5CBD"/>
    <w:rsid w:val="6EF30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00"/>
    <w:qFormat/>
    <w:uiPriority w:val="0"/>
    <w:pPr>
      <w:keepNext/>
      <w:keepLines/>
      <w:spacing w:before="340" w:after="330" w:line="578" w:lineRule="auto"/>
      <w:outlineLvl w:val="0"/>
    </w:pPr>
    <w:rPr>
      <w:b/>
      <w:bCs/>
      <w:kern w:val="44"/>
      <w:sz w:val="44"/>
      <w:szCs w:val="44"/>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3">
    <w:name w:val="toc 7"/>
    <w:basedOn w:val="1"/>
    <w:next w:val="1"/>
    <w:autoRedefine/>
    <w:qFormat/>
    <w:uiPriority w:val="39"/>
    <w:pPr>
      <w:ind w:left="1260"/>
      <w:jc w:val="left"/>
    </w:pPr>
    <w:rPr>
      <w:sz w:val="18"/>
      <w:szCs w:val="18"/>
    </w:rPr>
  </w:style>
  <w:style w:type="paragraph" w:styleId="4">
    <w:name w:val="List Number 2"/>
    <w:basedOn w:val="1"/>
    <w:qFormat/>
    <w:uiPriority w:val="0"/>
    <w:pPr>
      <w:widowControl/>
      <w:numPr>
        <w:ilvl w:val="0"/>
        <w:numId w:val="1"/>
      </w:numPr>
      <w:jc w:val="left"/>
    </w:pPr>
    <w:rPr>
      <w:snapToGrid w:val="0"/>
      <w:kern w:val="28"/>
      <w:sz w:val="24"/>
      <w:szCs w:val="20"/>
    </w:rPr>
  </w:style>
  <w:style w:type="paragraph" w:styleId="5">
    <w:name w:val="Document Map"/>
    <w:basedOn w:val="1"/>
    <w:semiHidden/>
    <w:qFormat/>
    <w:uiPriority w:val="0"/>
    <w:pPr>
      <w:shd w:val="clear" w:color="auto" w:fill="000080"/>
    </w:pPr>
  </w:style>
  <w:style w:type="paragraph" w:styleId="6">
    <w:name w:val="annotation text"/>
    <w:basedOn w:val="1"/>
    <w:link w:val="104"/>
    <w:semiHidden/>
    <w:qFormat/>
    <w:uiPriority w:val="0"/>
    <w:pPr>
      <w:jc w:val="left"/>
    </w:pPr>
  </w:style>
  <w:style w:type="paragraph" w:styleId="7">
    <w:name w:val="Body Text"/>
    <w:basedOn w:val="1"/>
    <w:qFormat/>
    <w:uiPriority w:val="0"/>
    <w:pPr>
      <w:spacing w:after="120"/>
    </w:pPr>
  </w:style>
  <w:style w:type="paragraph" w:styleId="8">
    <w:name w:val="Body Text Indent"/>
    <w:basedOn w:val="1"/>
    <w:link w:val="99"/>
    <w:qFormat/>
    <w:uiPriority w:val="0"/>
    <w:pPr>
      <w:spacing w:after="120"/>
      <w:ind w:left="420" w:leftChars="200"/>
    </w:pPr>
  </w:style>
  <w:style w:type="paragraph" w:styleId="9">
    <w:name w:val="toc 5"/>
    <w:basedOn w:val="1"/>
    <w:next w:val="1"/>
    <w:autoRedefine/>
    <w:qFormat/>
    <w:uiPriority w:val="39"/>
    <w:pPr>
      <w:ind w:left="840"/>
      <w:jc w:val="left"/>
    </w:pPr>
    <w:rPr>
      <w:sz w:val="18"/>
      <w:szCs w:val="18"/>
    </w:rPr>
  </w:style>
  <w:style w:type="paragraph" w:styleId="10">
    <w:name w:val="toc 3"/>
    <w:basedOn w:val="1"/>
    <w:next w:val="1"/>
    <w:autoRedefine/>
    <w:qFormat/>
    <w:uiPriority w:val="39"/>
    <w:pPr>
      <w:ind w:left="420"/>
      <w:jc w:val="left"/>
    </w:pPr>
    <w:rPr>
      <w:i/>
      <w:iCs/>
      <w:sz w:val="20"/>
      <w:szCs w:val="20"/>
    </w:rPr>
  </w:style>
  <w:style w:type="paragraph" w:styleId="11">
    <w:name w:val="Plain Text"/>
    <w:basedOn w:val="1"/>
    <w:link w:val="97"/>
    <w:qFormat/>
    <w:uiPriority w:val="0"/>
    <w:rPr>
      <w:rFonts w:ascii="宋体" w:hAnsi="Courier New" w:cs="Courier New"/>
    </w:rPr>
  </w:style>
  <w:style w:type="paragraph" w:styleId="12">
    <w:name w:val="toc 8"/>
    <w:basedOn w:val="1"/>
    <w:next w:val="1"/>
    <w:autoRedefine/>
    <w:qFormat/>
    <w:uiPriority w:val="39"/>
    <w:pPr>
      <w:ind w:left="1470"/>
      <w:jc w:val="left"/>
    </w:pPr>
    <w:rPr>
      <w:sz w:val="18"/>
      <w:szCs w:val="18"/>
    </w:rPr>
  </w:style>
  <w:style w:type="paragraph" w:styleId="13">
    <w:name w:val="Body Text Indent 2"/>
    <w:basedOn w:val="1"/>
    <w:link w:val="95"/>
    <w:qFormat/>
    <w:uiPriority w:val="0"/>
    <w:pPr>
      <w:spacing w:after="120" w:line="480" w:lineRule="auto"/>
      <w:ind w:left="420" w:leftChars="200"/>
    </w:pPr>
    <w:rPr>
      <w:szCs w:val="24"/>
    </w:rPr>
  </w:style>
  <w:style w:type="paragraph" w:styleId="14">
    <w:name w:val="Balloon Text"/>
    <w:basedOn w:val="1"/>
    <w:semiHidden/>
    <w:qFormat/>
    <w:uiPriority w:val="0"/>
    <w:rPr>
      <w:sz w:val="18"/>
      <w:szCs w:val="18"/>
    </w:rPr>
  </w:style>
  <w:style w:type="paragraph" w:styleId="15">
    <w:name w:val="footer"/>
    <w:basedOn w:val="1"/>
    <w:link w:val="98"/>
    <w:qFormat/>
    <w:uiPriority w:val="99"/>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39"/>
    <w:pPr>
      <w:tabs>
        <w:tab w:val="left" w:pos="420"/>
        <w:tab w:val="right" w:leader="dot" w:pos="8297"/>
      </w:tabs>
      <w:spacing w:line="360" w:lineRule="auto"/>
      <w:jc w:val="left"/>
    </w:pPr>
    <w:rPr>
      <w:b/>
      <w:bCs/>
      <w:caps/>
      <w:sz w:val="20"/>
      <w:szCs w:val="20"/>
    </w:rPr>
  </w:style>
  <w:style w:type="paragraph" w:styleId="18">
    <w:name w:val="toc 4"/>
    <w:basedOn w:val="1"/>
    <w:next w:val="1"/>
    <w:autoRedefine/>
    <w:qFormat/>
    <w:uiPriority w:val="39"/>
    <w:pPr>
      <w:ind w:left="630"/>
      <w:jc w:val="left"/>
    </w:pPr>
    <w:rPr>
      <w:sz w:val="18"/>
      <w:szCs w:val="18"/>
    </w:rPr>
  </w:style>
  <w:style w:type="paragraph" w:styleId="19">
    <w:name w:val="footnote text"/>
    <w:basedOn w:val="1"/>
    <w:semiHidden/>
    <w:qFormat/>
    <w:uiPriority w:val="0"/>
    <w:pPr>
      <w:snapToGrid w:val="0"/>
      <w:jc w:val="left"/>
    </w:pPr>
    <w:rPr>
      <w:sz w:val="18"/>
      <w:szCs w:val="18"/>
    </w:rPr>
  </w:style>
  <w:style w:type="paragraph" w:styleId="20">
    <w:name w:val="toc 6"/>
    <w:basedOn w:val="1"/>
    <w:next w:val="1"/>
    <w:autoRedefine/>
    <w:qFormat/>
    <w:uiPriority w:val="39"/>
    <w:pPr>
      <w:ind w:left="1050"/>
      <w:jc w:val="left"/>
    </w:pPr>
    <w:rPr>
      <w:sz w:val="18"/>
      <w:szCs w:val="18"/>
    </w:rPr>
  </w:style>
  <w:style w:type="paragraph" w:styleId="21">
    <w:name w:val="Body Text Indent 3"/>
    <w:basedOn w:val="1"/>
    <w:link w:val="102"/>
    <w:qFormat/>
    <w:uiPriority w:val="0"/>
    <w:pPr>
      <w:spacing w:after="120"/>
      <w:ind w:left="420" w:leftChars="200"/>
    </w:pPr>
    <w:rPr>
      <w:sz w:val="16"/>
      <w:szCs w:val="16"/>
    </w:rPr>
  </w:style>
  <w:style w:type="paragraph" w:styleId="22">
    <w:name w:val="toc 2"/>
    <w:basedOn w:val="1"/>
    <w:next w:val="1"/>
    <w:autoRedefine/>
    <w:qFormat/>
    <w:uiPriority w:val="39"/>
    <w:pPr>
      <w:tabs>
        <w:tab w:val="left" w:pos="840"/>
        <w:tab w:val="right" w:leader="dot" w:pos="8297"/>
      </w:tabs>
      <w:ind w:left="210"/>
      <w:jc w:val="left"/>
    </w:pPr>
    <w:rPr>
      <w:smallCaps/>
      <w:sz w:val="20"/>
      <w:szCs w:val="20"/>
    </w:rPr>
  </w:style>
  <w:style w:type="paragraph" w:styleId="23">
    <w:name w:val="toc 9"/>
    <w:basedOn w:val="1"/>
    <w:next w:val="1"/>
    <w:autoRedefine/>
    <w:qFormat/>
    <w:uiPriority w:val="39"/>
    <w:pPr>
      <w:ind w:left="1680"/>
      <w:jc w:val="left"/>
    </w:pPr>
    <w:rPr>
      <w:sz w:val="18"/>
      <w:szCs w:val="18"/>
    </w:rPr>
  </w:style>
  <w:style w:type="paragraph" w:styleId="24">
    <w:name w:val="annotation subject"/>
    <w:basedOn w:val="6"/>
    <w:next w:val="6"/>
    <w:semiHidden/>
    <w:qFormat/>
    <w:uiPriority w:val="0"/>
    <w:rPr>
      <w:b/>
      <w:bCs/>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page number"/>
    <w:basedOn w:val="27"/>
    <w:qFormat/>
    <w:uiPriority w:val="0"/>
  </w:style>
  <w:style w:type="character" w:styleId="29">
    <w:name w:val="Hyperlink"/>
    <w:qFormat/>
    <w:uiPriority w:val="99"/>
    <w:rPr>
      <w:color w:val="0000FF"/>
      <w:u w:val="single"/>
    </w:rPr>
  </w:style>
  <w:style w:type="character" w:styleId="30">
    <w:name w:val="annotation reference"/>
    <w:semiHidden/>
    <w:qFormat/>
    <w:uiPriority w:val="0"/>
    <w:rPr>
      <w:sz w:val="21"/>
      <w:szCs w:val="21"/>
    </w:rPr>
  </w:style>
  <w:style w:type="character" w:styleId="31">
    <w:name w:val="footnote reference"/>
    <w:semiHidden/>
    <w:qFormat/>
    <w:uiPriority w:val="0"/>
    <w:rPr>
      <w:vertAlign w:val="superscript"/>
    </w:rPr>
  </w:style>
  <w:style w:type="paragraph" w:customStyle="1" w:styleId="3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3">
    <w:name w:val="CM1"/>
    <w:basedOn w:val="32"/>
    <w:next w:val="32"/>
    <w:qFormat/>
    <w:uiPriority w:val="0"/>
    <w:rPr>
      <w:color w:val="auto"/>
    </w:rPr>
  </w:style>
  <w:style w:type="paragraph" w:customStyle="1" w:styleId="34">
    <w:name w:val="CM2"/>
    <w:basedOn w:val="32"/>
    <w:next w:val="32"/>
    <w:qFormat/>
    <w:uiPriority w:val="0"/>
    <w:pPr>
      <w:spacing w:line="1176" w:lineRule="atLeast"/>
    </w:pPr>
    <w:rPr>
      <w:color w:val="auto"/>
    </w:rPr>
  </w:style>
  <w:style w:type="paragraph" w:customStyle="1" w:styleId="35">
    <w:name w:val="CM45"/>
    <w:basedOn w:val="32"/>
    <w:next w:val="32"/>
    <w:qFormat/>
    <w:uiPriority w:val="0"/>
    <w:pPr>
      <w:spacing w:after="1088"/>
    </w:pPr>
    <w:rPr>
      <w:color w:val="auto"/>
    </w:rPr>
  </w:style>
  <w:style w:type="paragraph" w:customStyle="1" w:styleId="36">
    <w:name w:val="CM51"/>
    <w:basedOn w:val="32"/>
    <w:next w:val="32"/>
    <w:qFormat/>
    <w:uiPriority w:val="0"/>
    <w:pPr>
      <w:spacing w:after="190"/>
    </w:pPr>
    <w:rPr>
      <w:color w:val="auto"/>
    </w:rPr>
  </w:style>
  <w:style w:type="paragraph" w:customStyle="1" w:styleId="37">
    <w:name w:val="CM47"/>
    <w:basedOn w:val="32"/>
    <w:next w:val="32"/>
    <w:qFormat/>
    <w:uiPriority w:val="0"/>
    <w:pPr>
      <w:spacing w:after="62"/>
    </w:pPr>
    <w:rPr>
      <w:color w:val="auto"/>
    </w:rPr>
  </w:style>
  <w:style w:type="paragraph" w:customStyle="1" w:styleId="38">
    <w:name w:val="CM46"/>
    <w:basedOn w:val="32"/>
    <w:next w:val="32"/>
    <w:qFormat/>
    <w:uiPriority w:val="0"/>
    <w:pPr>
      <w:spacing w:after="128"/>
    </w:pPr>
    <w:rPr>
      <w:color w:val="auto"/>
    </w:rPr>
  </w:style>
  <w:style w:type="paragraph" w:customStyle="1" w:styleId="39">
    <w:name w:val="CM3"/>
    <w:basedOn w:val="32"/>
    <w:next w:val="32"/>
    <w:qFormat/>
    <w:uiPriority w:val="0"/>
    <w:rPr>
      <w:color w:val="auto"/>
    </w:rPr>
  </w:style>
  <w:style w:type="paragraph" w:customStyle="1" w:styleId="40">
    <w:name w:val="CM48"/>
    <w:basedOn w:val="32"/>
    <w:next w:val="32"/>
    <w:qFormat/>
    <w:uiPriority w:val="0"/>
    <w:pPr>
      <w:spacing w:after="265"/>
    </w:pPr>
    <w:rPr>
      <w:color w:val="auto"/>
    </w:rPr>
  </w:style>
  <w:style w:type="paragraph" w:customStyle="1" w:styleId="41">
    <w:name w:val="CM4"/>
    <w:basedOn w:val="32"/>
    <w:next w:val="32"/>
    <w:qFormat/>
    <w:uiPriority w:val="0"/>
    <w:rPr>
      <w:color w:val="auto"/>
    </w:rPr>
  </w:style>
  <w:style w:type="paragraph" w:customStyle="1" w:styleId="42">
    <w:name w:val="CM49"/>
    <w:basedOn w:val="32"/>
    <w:next w:val="32"/>
    <w:qFormat/>
    <w:uiPriority w:val="0"/>
    <w:pPr>
      <w:spacing w:after="407"/>
    </w:pPr>
    <w:rPr>
      <w:color w:val="auto"/>
    </w:rPr>
  </w:style>
  <w:style w:type="paragraph" w:customStyle="1" w:styleId="43">
    <w:name w:val="CM5"/>
    <w:basedOn w:val="32"/>
    <w:next w:val="32"/>
    <w:qFormat/>
    <w:uiPriority w:val="0"/>
    <w:pPr>
      <w:spacing w:line="408" w:lineRule="atLeast"/>
    </w:pPr>
    <w:rPr>
      <w:color w:val="auto"/>
    </w:rPr>
  </w:style>
  <w:style w:type="paragraph" w:customStyle="1" w:styleId="44">
    <w:name w:val="CM6"/>
    <w:basedOn w:val="32"/>
    <w:next w:val="32"/>
    <w:qFormat/>
    <w:uiPriority w:val="0"/>
    <w:pPr>
      <w:spacing w:line="408" w:lineRule="atLeast"/>
    </w:pPr>
    <w:rPr>
      <w:color w:val="auto"/>
    </w:rPr>
  </w:style>
  <w:style w:type="paragraph" w:customStyle="1" w:styleId="45">
    <w:name w:val="CM7"/>
    <w:basedOn w:val="32"/>
    <w:next w:val="32"/>
    <w:qFormat/>
    <w:uiPriority w:val="0"/>
    <w:pPr>
      <w:spacing w:line="408" w:lineRule="atLeast"/>
    </w:pPr>
    <w:rPr>
      <w:color w:val="auto"/>
    </w:rPr>
  </w:style>
  <w:style w:type="paragraph" w:customStyle="1" w:styleId="46">
    <w:name w:val="CM8"/>
    <w:basedOn w:val="32"/>
    <w:next w:val="32"/>
    <w:qFormat/>
    <w:uiPriority w:val="0"/>
    <w:pPr>
      <w:spacing w:line="406" w:lineRule="atLeast"/>
    </w:pPr>
    <w:rPr>
      <w:color w:val="auto"/>
    </w:rPr>
  </w:style>
  <w:style w:type="paragraph" w:customStyle="1" w:styleId="47">
    <w:name w:val="CM11"/>
    <w:basedOn w:val="32"/>
    <w:next w:val="32"/>
    <w:qFormat/>
    <w:uiPriority w:val="0"/>
    <w:pPr>
      <w:spacing w:line="468" w:lineRule="atLeast"/>
    </w:pPr>
    <w:rPr>
      <w:color w:val="auto"/>
    </w:rPr>
  </w:style>
  <w:style w:type="paragraph" w:customStyle="1" w:styleId="48">
    <w:name w:val="CM13"/>
    <w:basedOn w:val="32"/>
    <w:next w:val="32"/>
    <w:qFormat/>
    <w:uiPriority w:val="0"/>
    <w:pPr>
      <w:spacing w:line="463" w:lineRule="atLeast"/>
    </w:pPr>
    <w:rPr>
      <w:color w:val="auto"/>
    </w:rPr>
  </w:style>
  <w:style w:type="paragraph" w:customStyle="1" w:styleId="49">
    <w:name w:val="CM14"/>
    <w:basedOn w:val="32"/>
    <w:next w:val="32"/>
    <w:qFormat/>
    <w:uiPriority w:val="0"/>
    <w:pPr>
      <w:spacing w:line="468" w:lineRule="atLeast"/>
    </w:pPr>
    <w:rPr>
      <w:color w:val="auto"/>
    </w:rPr>
  </w:style>
  <w:style w:type="paragraph" w:customStyle="1" w:styleId="50">
    <w:name w:val="CM52"/>
    <w:basedOn w:val="32"/>
    <w:next w:val="32"/>
    <w:qFormat/>
    <w:uiPriority w:val="0"/>
    <w:pPr>
      <w:spacing w:after="65"/>
    </w:pPr>
    <w:rPr>
      <w:color w:val="auto"/>
    </w:rPr>
  </w:style>
  <w:style w:type="paragraph" w:customStyle="1" w:styleId="51">
    <w:name w:val="CM15"/>
    <w:basedOn w:val="32"/>
    <w:next w:val="32"/>
    <w:qFormat/>
    <w:uiPriority w:val="0"/>
    <w:pPr>
      <w:spacing w:line="468" w:lineRule="atLeast"/>
    </w:pPr>
    <w:rPr>
      <w:color w:val="auto"/>
    </w:rPr>
  </w:style>
  <w:style w:type="paragraph" w:customStyle="1" w:styleId="52">
    <w:name w:val="CM16"/>
    <w:basedOn w:val="32"/>
    <w:next w:val="32"/>
    <w:qFormat/>
    <w:uiPriority w:val="0"/>
    <w:pPr>
      <w:spacing w:line="468" w:lineRule="atLeast"/>
    </w:pPr>
    <w:rPr>
      <w:color w:val="auto"/>
    </w:rPr>
  </w:style>
  <w:style w:type="paragraph" w:customStyle="1" w:styleId="53">
    <w:name w:val="CM19"/>
    <w:basedOn w:val="32"/>
    <w:next w:val="32"/>
    <w:qFormat/>
    <w:uiPriority w:val="0"/>
    <w:pPr>
      <w:spacing w:line="468" w:lineRule="atLeast"/>
    </w:pPr>
    <w:rPr>
      <w:color w:val="auto"/>
    </w:rPr>
  </w:style>
  <w:style w:type="paragraph" w:customStyle="1" w:styleId="54">
    <w:name w:val="CM55"/>
    <w:basedOn w:val="32"/>
    <w:next w:val="32"/>
    <w:qFormat/>
    <w:uiPriority w:val="0"/>
    <w:pPr>
      <w:spacing w:after="245"/>
    </w:pPr>
    <w:rPr>
      <w:color w:val="auto"/>
    </w:rPr>
  </w:style>
  <w:style w:type="paragraph" w:customStyle="1" w:styleId="55">
    <w:name w:val="CM20"/>
    <w:basedOn w:val="32"/>
    <w:next w:val="32"/>
    <w:qFormat/>
    <w:uiPriority w:val="0"/>
    <w:pPr>
      <w:spacing w:line="468" w:lineRule="atLeast"/>
    </w:pPr>
    <w:rPr>
      <w:color w:val="auto"/>
    </w:rPr>
  </w:style>
  <w:style w:type="paragraph" w:customStyle="1" w:styleId="56">
    <w:name w:val="CM21"/>
    <w:basedOn w:val="32"/>
    <w:next w:val="32"/>
    <w:qFormat/>
    <w:uiPriority w:val="0"/>
    <w:pPr>
      <w:spacing w:line="468" w:lineRule="atLeast"/>
    </w:pPr>
    <w:rPr>
      <w:color w:val="auto"/>
    </w:rPr>
  </w:style>
  <w:style w:type="paragraph" w:customStyle="1" w:styleId="57">
    <w:name w:val="CM23"/>
    <w:basedOn w:val="32"/>
    <w:next w:val="32"/>
    <w:qFormat/>
    <w:uiPriority w:val="0"/>
    <w:pPr>
      <w:spacing w:line="468" w:lineRule="atLeast"/>
    </w:pPr>
    <w:rPr>
      <w:color w:val="auto"/>
    </w:rPr>
  </w:style>
  <w:style w:type="paragraph" w:customStyle="1" w:styleId="58">
    <w:name w:val="CM54"/>
    <w:basedOn w:val="32"/>
    <w:next w:val="32"/>
    <w:qFormat/>
    <w:uiPriority w:val="0"/>
    <w:pPr>
      <w:spacing w:after="540"/>
    </w:pPr>
    <w:rPr>
      <w:color w:val="auto"/>
    </w:rPr>
  </w:style>
  <w:style w:type="paragraph" w:customStyle="1" w:styleId="59">
    <w:name w:val="CM53"/>
    <w:basedOn w:val="32"/>
    <w:next w:val="32"/>
    <w:qFormat/>
    <w:uiPriority w:val="0"/>
    <w:pPr>
      <w:spacing w:after="395"/>
    </w:pPr>
    <w:rPr>
      <w:color w:val="auto"/>
    </w:rPr>
  </w:style>
  <w:style w:type="paragraph" w:customStyle="1" w:styleId="60">
    <w:name w:val="CM24"/>
    <w:basedOn w:val="32"/>
    <w:next w:val="32"/>
    <w:qFormat/>
    <w:uiPriority w:val="0"/>
    <w:rPr>
      <w:color w:val="auto"/>
    </w:rPr>
  </w:style>
  <w:style w:type="paragraph" w:customStyle="1" w:styleId="61">
    <w:name w:val="CM25"/>
    <w:basedOn w:val="32"/>
    <w:next w:val="32"/>
    <w:qFormat/>
    <w:uiPriority w:val="0"/>
    <w:pPr>
      <w:spacing w:line="466" w:lineRule="atLeast"/>
    </w:pPr>
    <w:rPr>
      <w:color w:val="auto"/>
    </w:rPr>
  </w:style>
  <w:style w:type="paragraph" w:customStyle="1" w:styleId="62">
    <w:name w:val="CM28"/>
    <w:basedOn w:val="32"/>
    <w:next w:val="32"/>
    <w:qFormat/>
    <w:uiPriority w:val="0"/>
    <w:pPr>
      <w:spacing w:line="586" w:lineRule="atLeast"/>
    </w:pPr>
    <w:rPr>
      <w:color w:val="auto"/>
    </w:rPr>
  </w:style>
  <w:style w:type="paragraph" w:customStyle="1" w:styleId="63">
    <w:name w:val="CM29"/>
    <w:basedOn w:val="32"/>
    <w:next w:val="32"/>
    <w:qFormat/>
    <w:uiPriority w:val="0"/>
    <w:pPr>
      <w:spacing w:line="468" w:lineRule="atLeast"/>
    </w:pPr>
    <w:rPr>
      <w:color w:val="auto"/>
    </w:rPr>
  </w:style>
  <w:style w:type="paragraph" w:customStyle="1" w:styleId="64">
    <w:name w:val="CM31"/>
    <w:basedOn w:val="32"/>
    <w:next w:val="32"/>
    <w:qFormat/>
    <w:uiPriority w:val="0"/>
    <w:pPr>
      <w:spacing w:line="466" w:lineRule="atLeast"/>
    </w:pPr>
    <w:rPr>
      <w:color w:val="auto"/>
    </w:rPr>
  </w:style>
  <w:style w:type="paragraph" w:customStyle="1" w:styleId="65">
    <w:name w:val="CM32"/>
    <w:basedOn w:val="32"/>
    <w:next w:val="32"/>
    <w:qFormat/>
    <w:uiPriority w:val="0"/>
    <w:pPr>
      <w:spacing w:line="468" w:lineRule="atLeast"/>
    </w:pPr>
    <w:rPr>
      <w:color w:val="auto"/>
    </w:rPr>
  </w:style>
  <w:style w:type="paragraph" w:customStyle="1" w:styleId="66">
    <w:name w:val="CM35"/>
    <w:basedOn w:val="32"/>
    <w:next w:val="32"/>
    <w:qFormat/>
    <w:uiPriority w:val="0"/>
    <w:pPr>
      <w:spacing w:line="511" w:lineRule="atLeast"/>
    </w:pPr>
    <w:rPr>
      <w:color w:val="auto"/>
    </w:rPr>
  </w:style>
  <w:style w:type="paragraph" w:customStyle="1" w:styleId="67">
    <w:name w:val="CM56"/>
    <w:basedOn w:val="32"/>
    <w:next w:val="32"/>
    <w:qFormat/>
    <w:uiPriority w:val="0"/>
    <w:pPr>
      <w:spacing w:after="895"/>
    </w:pPr>
    <w:rPr>
      <w:color w:val="auto"/>
    </w:rPr>
  </w:style>
  <w:style w:type="paragraph" w:customStyle="1" w:styleId="68">
    <w:name w:val="CM50"/>
    <w:basedOn w:val="32"/>
    <w:next w:val="32"/>
    <w:qFormat/>
    <w:uiPriority w:val="0"/>
    <w:pPr>
      <w:spacing w:after="715"/>
    </w:pPr>
    <w:rPr>
      <w:color w:val="auto"/>
    </w:rPr>
  </w:style>
  <w:style w:type="paragraph" w:customStyle="1" w:styleId="69">
    <w:name w:val="CM59"/>
    <w:basedOn w:val="32"/>
    <w:next w:val="32"/>
    <w:qFormat/>
    <w:uiPriority w:val="0"/>
    <w:pPr>
      <w:spacing w:after="300"/>
    </w:pPr>
    <w:rPr>
      <w:color w:val="auto"/>
    </w:rPr>
  </w:style>
  <w:style w:type="paragraph" w:customStyle="1" w:styleId="70">
    <w:name w:val="CM58"/>
    <w:basedOn w:val="32"/>
    <w:next w:val="32"/>
    <w:qFormat/>
    <w:uiPriority w:val="0"/>
    <w:pPr>
      <w:spacing w:after="618"/>
    </w:pPr>
    <w:rPr>
      <w:color w:val="auto"/>
    </w:rPr>
  </w:style>
  <w:style w:type="paragraph" w:customStyle="1" w:styleId="71">
    <w:name w:val="CM36"/>
    <w:basedOn w:val="32"/>
    <w:next w:val="32"/>
    <w:qFormat/>
    <w:uiPriority w:val="0"/>
    <w:pPr>
      <w:spacing w:line="588" w:lineRule="atLeast"/>
    </w:pPr>
    <w:rPr>
      <w:color w:val="auto"/>
    </w:rPr>
  </w:style>
  <w:style w:type="paragraph" w:customStyle="1" w:styleId="72">
    <w:name w:val="CM38"/>
    <w:basedOn w:val="32"/>
    <w:next w:val="32"/>
    <w:qFormat/>
    <w:uiPriority w:val="0"/>
    <w:pPr>
      <w:spacing w:line="533" w:lineRule="atLeast"/>
    </w:pPr>
    <w:rPr>
      <w:color w:val="auto"/>
    </w:rPr>
  </w:style>
  <w:style w:type="paragraph" w:customStyle="1" w:styleId="73">
    <w:name w:val="CM61"/>
    <w:basedOn w:val="32"/>
    <w:next w:val="32"/>
    <w:qFormat/>
    <w:uiPriority w:val="0"/>
    <w:pPr>
      <w:spacing w:after="120"/>
    </w:pPr>
    <w:rPr>
      <w:color w:val="auto"/>
    </w:rPr>
  </w:style>
  <w:style w:type="paragraph" w:customStyle="1" w:styleId="74">
    <w:name w:val="CM34"/>
    <w:basedOn w:val="32"/>
    <w:next w:val="32"/>
    <w:qFormat/>
    <w:uiPriority w:val="0"/>
    <w:pPr>
      <w:spacing w:line="520" w:lineRule="atLeast"/>
    </w:pPr>
    <w:rPr>
      <w:color w:val="auto"/>
    </w:rPr>
  </w:style>
  <w:style w:type="paragraph" w:customStyle="1" w:styleId="75">
    <w:name w:val="CM39"/>
    <w:basedOn w:val="32"/>
    <w:next w:val="32"/>
    <w:qFormat/>
    <w:uiPriority w:val="0"/>
    <w:pPr>
      <w:spacing w:line="526" w:lineRule="atLeast"/>
    </w:pPr>
    <w:rPr>
      <w:color w:val="auto"/>
    </w:rPr>
  </w:style>
  <w:style w:type="paragraph" w:customStyle="1" w:styleId="76">
    <w:name w:val="CM40"/>
    <w:basedOn w:val="32"/>
    <w:next w:val="32"/>
    <w:qFormat/>
    <w:uiPriority w:val="0"/>
    <w:pPr>
      <w:spacing w:line="540" w:lineRule="atLeast"/>
    </w:pPr>
    <w:rPr>
      <w:color w:val="auto"/>
    </w:rPr>
  </w:style>
  <w:style w:type="paragraph" w:customStyle="1" w:styleId="77">
    <w:name w:val="CM41"/>
    <w:basedOn w:val="32"/>
    <w:next w:val="32"/>
    <w:qFormat/>
    <w:uiPriority w:val="0"/>
    <w:pPr>
      <w:spacing w:line="528" w:lineRule="atLeast"/>
    </w:pPr>
    <w:rPr>
      <w:color w:val="auto"/>
    </w:rPr>
  </w:style>
  <w:style w:type="paragraph" w:customStyle="1" w:styleId="78">
    <w:name w:val="CM42"/>
    <w:basedOn w:val="32"/>
    <w:next w:val="32"/>
    <w:qFormat/>
    <w:uiPriority w:val="0"/>
    <w:pPr>
      <w:spacing w:line="520" w:lineRule="atLeast"/>
    </w:pPr>
    <w:rPr>
      <w:color w:val="auto"/>
    </w:rPr>
  </w:style>
  <w:style w:type="paragraph" w:customStyle="1" w:styleId="79">
    <w:name w:val="CM44"/>
    <w:basedOn w:val="32"/>
    <w:next w:val="32"/>
    <w:qFormat/>
    <w:uiPriority w:val="0"/>
    <w:pPr>
      <w:spacing w:line="500" w:lineRule="atLeast"/>
    </w:pPr>
    <w:rPr>
      <w:color w:val="auto"/>
    </w:rPr>
  </w:style>
  <w:style w:type="character" w:customStyle="1" w:styleId="80">
    <w:name w:val="Default Char"/>
    <w:qFormat/>
    <w:uiPriority w:val="0"/>
    <w:rPr>
      <w:rFonts w:ascii="宋体" w:eastAsia="宋体"/>
      <w:color w:val="000000"/>
      <w:sz w:val="24"/>
      <w:szCs w:val="24"/>
      <w:lang w:val="en-US" w:eastAsia="zh-CN" w:bidi="ar-SA"/>
    </w:rPr>
  </w:style>
  <w:style w:type="character" w:customStyle="1" w:styleId="81">
    <w:name w:val="CM54 Char"/>
    <w:basedOn w:val="80"/>
    <w:qFormat/>
    <w:uiPriority w:val="0"/>
    <w:rPr>
      <w:rFonts w:ascii="宋体" w:eastAsia="宋体"/>
      <w:color w:val="000000"/>
      <w:sz w:val="24"/>
      <w:szCs w:val="24"/>
      <w:lang w:val="en-US" w:eastAsia="zh-CN" w:bidi="ar-SA"/>
    </w:rPr>
  </w:style>
  <w:style w:type="paragraph" w:customStyle="1" w:styleId="82">
    <w:name w:val="Article_L1"/>
    <w:basedOn w:val="1"/>
    <w:next w:val="7"/>
    <w:qFormat/>
    <w:uiPriority w:val="0"/>
    <w:pPr>
      <w:widowControl/>
      <w:numPr>
        <w:ilvl w:val="0"/>
        <w:numId w:val="2"/>
      </w:numPr>
      <w:spacing w:after="240"/>
      <w:jc w:val="center"/>
      <w:outlineLvl w:val="0"/>
    </w:pPr>
    <w:rPr>
      <w:rFonts w:eastAsia="Times New Roman"/>
      <w:b/>
      <w:bCs/>
      <w:caps/>
      <w:kern w:val="0"/>
      <w:sz w:val="22"/>
      <w:szCs w:val="22"/>
      <w:lang w:eastAsia="en-US"/>
    </w:rPr>
  </w:style>
  <w:style w:type="paragraph" w:customStyle="1" w:styleId="83">
    <w:name w:val="Article_L2"/>
    <w:basedOn w:val="82"/>
    <w:next w:val="7"/>
    <w:qFormat/>
    <w:uiPriority w:val="0"/>
    <w:pPr>
      <w:numPr>
        <w:ilvl w:val="1"/>
      </w:numPr>
      <w:jc w:val="both"/>
      <w:outlineLvl w:val="1"/>
    </w:pPr>
    <w:rPr>
      <w:b w:val="0"/>
      <w:bCs w:val="0"/>
      <w:caps w:val="0"/>
    </w:rPr>
  </w:style>
  <w:style w:type="paragraph" w:customStyle="1" w:styleId="84">
    <w:name w:val="Article_L3"/>
    <w:basedOn w:val="83"/>
    <w:next w:val="7"/>
    <w:qFormat/>
    <w:uiPriority w:val="0"/>
    <w:pPr>
      <w:numPr>
        <w:ilvl w:val="2"/>
      </w:numPr>
      <w:jc w:val="left"/>
      <w:outlineLvl w:val="2"/>
    </w:pPr>
    <w:rPr>
      <w:sz w:val="24"/>
      <w:szCs w:val="24"/>
    </w:rPr>
  </w:style>
  <w:style w:type="paragraph" w:customStyle="1" w:styleId="85">
    <w:name w:val="Article_L4"/>
    <w:basedOn w:val="84"/>
    <w:next w:val="7"/>
    <w:qFormat/>
    <w:uiPriority w:val="0"/>
    <w:pPr>
      <w:numPr>
        <w:ilvl w:val="3"/>
      </w:numPr>
      <w:outlineLvl w:val="3"/>
    </w:pPr>
  </w:style>
  <w:style w:type="paragraph" w:customStyle="1" w:styleId="86">
    <w:name w:val="Article_L5"/>
    <w:basedOn w:val="85"/>
    <w:next w:val="7"/>
    <w:qFormat/>
    <w:uiPriority w:val="0"/>
    <w:pPr>
      <w:numPr>
        <w:ilvl w:val="4"/>
      </w:numPr>
      <w:outlineLvl w:val="4"/>
    </w:pPr>
  </w:style>
  <w:style w:type="paragraph" w:customStyle="1" w:styleId="87">
    <w:name w:val="Article_L6"/>
    <w:basedOn w:val="86"/>
    <w:next w:val="7"/>
    <w:qFormat/>
    <w:uiPriority w:val="0"/>
    <w:pPr>
      <w:numPr>
        <w:ilvl w:val="5"/>
      </w:numPr>
      <w:outlineLvl w:val="5"/>
    </w:pPr>
  </w:style>
  <w:style w:type="paragraph" w:customStyle="1" w:styleId="88">
    <w:name w:val="Article_L7"/>
    <w:basedOn w:val="87"/>
    <w:next w:val="7"/>
    <w:qFormat/>
    <w:uiPriority w:val="0"/>
    <w:pPr>
      <w:numPr>
        <w:ilvl w:val="6"/>
      </w:numPr>
      <w:outlineLvl w:val="6"/>
    </w:pPr>
  </w:style>
  <w:style w:type="paragraph" w:customStyle="1" w:styleId="89">
    <w:name w:val="Article_L8"/>
    <w:basedOn w:val="88"/>
    <w:next w:val="7"/>
    <w:qFormat/>
    <w:uiPriority w:val="0"/>
    <w:pPr>
      <w:numPr>
        <w:ilvl w:val="7"/>
      </w:numPr>
      <w:outlineLvl w:val="7"/>
    </w:pPr>
  </w:style>
  <w:style w:type="paragraph" w:customStyle="1" w:styleId="90">
    <w:name w:val="Article_L9"/>
    <w:basedOn w:val="89"/>
    <w:next w:val="7"/>
    <w:qFormat/>
    <w:uiPriority w:val="0"/>
    <w:pPr>
      <w:numPr>
        <w:ilvl w:val="8"/>
      </w:numPr>
      <w:outlineLvl w:val="8"/>
    </w:pPr>
  </w:style>
  <w:style w:type="paragraph" w:customStyle="1" w:styleId="91">
    <w:name w:val="Body 3"/>
    <w:basedOn w:val="1"/>
    <w:qFormat/>
    <w:uiPriority w:val="0"/>
    <w:pPr>
      <w:widowControl/>
      <w:spacing w:after="140" w:line="290" w:lineRule="auto"/>
      <w:ind w:left="1361"/>
    </w:pPr>
    <w:rPr>
      <w:rFonts w:ascii="Arial" w:hAnsi="Arial" w:eastAsia="Times New Roman"/>
      <w:kern w:val="20"/>
      <w:sz w:val="20"/>
      <w:szCs w:val="24"/>
      <w:lang w:val="en-GB" w:eastAsia="en-US"/>
    </w:rPr>
  </w:style>
  <w:style w:type="paragraph" w:customStyle="1" w:styleId="92">
    <w:name w:val="Normal (Justified)"/>
    <w:basedOn w:val="1"/>
    <w:qFormat/>
    <w:uiPriority w:val="0"/>
    <w:pPr>
      <w:widowControl/>
    </w:pPr>
    <w:rPr>
      <w:kern w:val="28"/>
      <w:sz w:val="22"/>
      <w:szCs w:val="22"/>
    </w:rPr>
  </w:style>
  <w:style w:type="paragraph" w:customStyle="1" w:styleId="93">
    <w:name w:val="LH Firm Name"/>
    <w:basedOn w:val="1"/>
    <w:qFormat/>
    <w:uiPriority w:val="0"/>
    <w:pPr>
      <w:widowControl/>
      <w:spacing w:after="120"/>
      <w:ind w:left="-720"/>
    </w:pPr>
    <w:rPr>
      <w:rFonts w:ascii="EngravrsRoman BT" w:hAnsi="EngravrsRoman BT" w:eastAsia="Batang"/>
      <w:b/>
      <w:bCs/>
      <w:spacing w:val="10"/>
      <w:kern w:val="0"/>
      <w:sz w:val="15"/>
      <w:szCs w:val="15"/>
      <w:lang w:eastAsia="ko-KR"/>
    </w:rPr>
  </w:style>
  <w:style w:type="paragraph" w:customStyle="1" w:styleId="94">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95">
    <w:name w:val="正文文本缩进 2 Char"/>
    <w:link w:val="13"/>
    <w:qFormat/>
    <w:uiPriority w:val="0"/>
    <w:rPr>
      <w:kern w:val="2"/>
      <w:sz w:val="21"/>
      <w:szCs w:val="24"/>
    </w:rPr>
  </w:style>
  <w:style w:type="paragraph" w:customStyle="1" w:styleId="96">
    <w:name w:val="样式2"/>
    <w:basedOn w:val="11"/>
    <w:qFormat/>
    <w:uiPriority w:val="0"/>
    <w:pPr>
      <w:spacing w:beforeLines="50" w:afterLines="50" w:line="440" w:lineRule="exact"/>
      <w:jc w:val="center"/>
    </w:pPr>
    <w:rPr>
      <w:rFonts w:hAnsi="宋体" w:cs="Times New Roman"/>
      <w:b/>
      <w:bCs/>
      <w:sz w:val="28"/>
      <w:szCs w:val="28"/>
    </w:rPr>
  </w:style>
  <w:style w:type="character" w:customStyle="1" w:styleId="97">
    <w:name w:val="纯文本 Char"/>
    <w:link w:val="11"/>
    <w:qFormat/>
    <w:uiPriority w:val="0"/>
    <w:rPr>
      <w:rFonts w:ascii="宋体" w:hAnsi="Courier New" w:cs="Courier New"/>
      <w:kern w:val="2"/>
      <w:sz w:val="21"/>
      <w:szCs w:val="21"/>
    </w:rPr>
  </w:style>
  <w:style w:type="character" w:customStyle="1" w:styleId="98">
    <w:name w:val="页脚 Char"/>
    <w:link w:val="15"/>
    <w:qFormat/>
    <w:uiPriority w:val="99"/>
    <w:rPr>
      <w:kern w:val="2"/>
      <w:sz w:val="18"/>
      <w:szCs w:val="18"/>
    </w:rPr>
  </w:style>
  <w:style w:type="character" w:customStyle="1" w:styleId="99">
    <w:name w:val="正文文本缩进 Char"/>
    <w:link w:val="8"/>
    <w:qFormat/>
    <w:uiPriority w:val="0"/>
    <w:rPr>
      <w:kern w:val="2"/>
      <w:sz w:val="21"/>
      <w:szCs w:val="21"/>
      <w:lang w:bidi="ar-SA"/>
    </w:rPr>
  </w:style>
  <w:style w:type="character" w:customStyle="1" w:styleId="100">
    <w:name w:val="标题 1 Char"/>
    <w:link w:val="2"/>
    <w:qFormat/>
    <w:uiPriority w:val="0"/>
    <w:rPr>
      <w:b/>
      <w:bCs/>
      <w:kern w:val="44"/>
      <w:sz w:val="44"/>
      <w:szCs w:val="44"/>
      <w:lang w:bidi="ar-SA"/>
    </w:rPr>
  </w:style>
  <w:style w:type="paragraph" w:customStyle="1" w:styleId="101">
    <w:name w:val="TOC 标题1"/>
    <w:basedOn w:val="2"/>
    <w:next w:val="1"/>
    <w:unhideWhenUsed/>
    <w:qFormat/>
    <w:uiPriority w:val="39"/>
    <w:pPr>
      <w:widowControl/>
      <w:spacing w:before="240" w:after="0" w:line="259" w:lineRule="auto"/>
      <w:jc w:val="left"/>
      <w:outlineLvl w:val="9"/>
    </w:pPr>
    <w:rPr>
      <w:rFonts w:ascii="Calibri Light" w:hAnsi="Calibri Light" w:cs="Mongolian Baiti"/>
      <w:b w:val="0"/>
      <w:bCs w:val="0"/>
      <w:color w:val="2E74B5"/>
      <w:kern w:val="0"/>
      <w:sz w:val="32"/>
      <w:szCs w:val="32"/>
      <w:lang w:bidi="mn-Mong-CN"/>
    </w:rPr>
  </w:style>
  <w:style w:type="character" w:customStyle="1" w:styleId="102">
    <w:name w:val="正文文本缩进 3 Char"/>
    <w:link w:val="21"/>
    <w:qFormat/>
    <w:uiPriority w:val="0"/>
    <w:rPr>
      <w:kern w:val="2"/>
      <w:sz w:val="16"/>
      <w:szCs w:val="16"/>
    </w:rPr>
  </w:style>
  <w:style w:type="paragraph" w:styleId="103">
    <w:name w:val="List Paragraph"/>
    <w:basedOn w:val="1"/>
    <w:qFormat/>
    <w:uiPriority w:val="0"/>
    <w:pPr>
      <w:ind w:firstLine="420" w:firstLineChars="200"/>
    </w:pPr>
    <w:rPr>
      <w:rFonts w:ascii="Calibri" w:hAnsi="Calibri"/>
      <w:szCs w:val="22"/>
    </w:rPr>
  </w:style>
  <w:style w:type="character" w:customStyle="1" w:styleId="104">
    <w:name w:val="批注文字 Char"/>
    <w:link w:val="6"/>
    <w:semiHidden/>
    <w:qFormat/>
    <w:uiPriority w:val="0"/>
    <w:rPr>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DA060-A52E-4C10-BA17-76DA4B601F0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34</Pages>
  <Words>232</Words>
  <Characters>282</Characters>
  <Lines>175</Lines>
  <Paragraphs>49</Paragraphs>
  <TotalTime>1</TotalTime>
  <ScaleCrop>false</ScaleCrop>
  <LinksUpToDate>false</LinksUpToDate>
  <CharactersWithSpaces>337</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2018-07-16T01:05:00Z</dcterms:created>
  <dc:creator>ShenXiaofei</dc:creator>
  <cp:lastModifiedBy>刘晓英</cp:lastModifiedBy>
  <cp:lastPrinted>2018-07-05T08:11:00Z</cp:lastPrinted>
  <dcterms:modified xsi:type="dcterms:W3CDTF">2026-10-08T00:29:44Z</dcterms:modified>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a55a02e9-a5e3-4195-80e1-1289f708ec16</vt:lpwstr>
  </property>
  <property fmtid="{D5CDD505-2E9C-101B-9397-08002B2CF9AE}" pid="3" name="KSOProductBuildVer">
    <vt:lpwstr>2052-12.8.2.18606</vt:lpwstr>
  </property>
  <property fmtid="{D5CDD505-2E9C-101B-9397-08002B2CF9AE}" pid="4" name="ICV">
    <vt:lpwstr>675A84DCE9114F4CB3FDE14BD87641A0_12</vt:lpwstr>
  </property>
  <property fmtid="{D5CDD505-2E9C-101B-9397-08002B2CF9AE}" pid="5" name="KSOTemplateDocerSaveRecord">
    <vt:lpwstr>eyJoZGlkIjoiN2RmODliZTBiZWU0OGVhMGI2OGEzOWRmODI2NDM4NDciLCJ1c2VySWQiOiIzNDE2MDAzNTUifQ==</vt:lpwstr>
  </property>
</Properties>
</file>