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248BB">
      <w:pPr>
        <w:spacing w:line="560" w:lineRule="exact"/>
        <w:jc w:val="left"/>
        <w:rPr>
          <w:rFonts w:hint="eastAsia" w:ascii="仿宋_GB2312" w:hAnsi="仿宋_GB2312" w:eastAsia="仿宋_GB2312" w:cs="仿宋_GB2312"/>
          <w:bCs/>
          <w:sz w:val="32"/>
          <w:szCs w:val="32"/>
          <w:highlight w:val="none"/>
        </w:rPr>
      </w:pPr>
    </w:p>
    <w:p w14:paraId="186D2885">
      <w:pPr>
        <w:spacing w:line="560" w:lineRule="exact"/>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中国东方资产管理股份有限公司四川省分公司</w:t>
      </w:r>
    </w:p>
    <w:p w14:paraId="2EB83016">
      <w:pPr>
        <w:spacing w:line="560" w:lineRule="exact"/>
        <w:jc w:val="center"/>
        <w:rPr>
          <w:rFonts w:hint="eastAsia"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关于成都坤晟坤威置业有限公司等3户债权资产包的处置公告</w:t>
      </w:r>
    </w:p>
    <w:p w14:paraId="6B19978D">
      <w:pPr>
        <w:spacing w:line="560" w:lineRule="exact"/>
        <w:ind w:firstLine="2731" w:firstLineChars="850"/>
        <w:rPr>
          <w:rFonts w:hint="eastAsia" w:ascii="方正小标宋简体" w:hAnsi="宋体" w:eastAsia="方正小标宋简体"/>
          <w:b/>
          <w:sz w:val="32"/>
          <w:szCs w:val="32"/>
          <w:highlight w:val="none"/>
        </w:rPr>
      </w:pPr>
    </w:p>
    <w:p w14:paraId="4FD7FB13">
      <w:pPr>
        <w:spacing w:line="560" w:lineRule="exact"/>
        <w:ind w:right="118" w:rightChars="56" w:firstLine="640" w:firstLineChars="200"/>
        <w:rPr>
          <w:rFonts w:eastAsia="仿宋_GB2312"/>
          <w:sz w:val="32"/>
          <w:szCs w:val="30"/>
          <w:highlight w:val="none"/>
        </w:rPr>
      </w:pPr>
      <w:r>
        <w:rPr>
          <w:rFonts w:hint="eastAsia" w:eastAsia="仿宋_GB2312"/>
          <w:sz w:val="32"/>
          <w:szCs w:val="30"/>
          <w:highlight w:val="none"/>
        </w:rPr>
        <w:t>中国东方资产管理股份有限公司</w:t>
      </w:r>
      <w:r>
        <w:rPr>
          <w:rFonts w:hint="eastAsia" w:eastAsia="仿宋_GB2312" w:cs="仿宋_GB2312"/>
          <w:sz w:val="32"/>
          <w:szCs w:val="32"/>
          <w:highlight w:val="none"/>
        </w:rPr>
        <w:t>四川省</w:t>
      </w:r>
      <w:r>
        <w:rPr>
          <w:rFonts w:hint="eastAsia" w:eastAsia="仿宋_GB2312"/>
          <w:sz w:val="32"/>
          <w:szCs w:val="30"/>
          <w:highlight w:val="none"/>
        </w:rPr>
        <w:t>分公司（以下简称“我分公司”）拟公开处置所持有的成都坤晟坤威置业有限公司等3户债权资产包，特发布此公告。</w:t>
      </w:r>
    </w:p>
    <w:p w14:paraId="74747F80">
      <w:pPr>
        <w:adjustRightInd w:val="0"/>
        <w:snapToGrid w:val="0"/>
        <w:spacing w:before="156" w:beforeLines="50" w:after="156" w:afterLines="50" w:line="560" w:lineRule="exact"/>
        <w:ind w:firstLine="640" w:firstLineChars="200"/>
        <w:jc w:val="left"/>
        <w:rPr>
          <w:rFonts w:hint="eastAsia" w:eastAsia="仿宋_GB2312"/>
          <w:sz w:val="32"/>
          <w:szCs w:val="30"/>
          <w:highlight w:val="none"/>
        </w:rPr>
      </w:pPr>
      <w:r>
        <w:rPr>
          <w:rFonts w:hint="eastAsia" w:eastAsia="仿宋_GB2312"/>
          <w:sz w:val="32"/>
          <w:szCs w:val="30"/>
          <w:highlight w:val="none"/>
          <w:lang w:eastAsia="zh-CN"/>
        </w:rPr>
        <w:t>截至</w:t>
      </w:r>
      <w:r>
        <w:rPr>
          <w:rFonts w:hint="eastAsia" w:eastAsia="仿宋_GB2312"/>
          <w:sz w:val="32"/>
          <w:szCs w:val="30"/>
          <w:highlight w:val="none"/>
        </w:rPr>
        <w:t>基准日2026年9月20日</w:t>
      </w:r>
      <w:r>
        <w:rPr>
          <w:rFonts w:hint="eastAsia" w:eastAsia="仿宋_GB2312"/>
          <w:sz w:val="32"/>
          <w:szCs w:val="30"/>
          <w:highlight w:val="none"/>
          <w:lang w:eastAsia="zh-CN"/>
        </w:rPr>
        <w:t>，</w:t>
      </w:r>
      <w:r>
        <w:rPr>
          <w:rFonts w:hint="eastAsia" w:eastAsia="仿宋_GB2312"/>
          <w:sz w:val="32"/>
          <w:szCs w:val="30"/>
          <w:highlight w:val="none"/>
        </w:rPr>
        <w:t>本资产包</w:t>
      </w:r>
      <w:r>
        <w:rPr>
          <w:rFonts w:hint="eastAsia" w:eastAsia="仿宋_GB2312"/>
          <w:sz w:val="32"/>
          <w:szCs w:val="30"/>
          <w:highlight w:val="none"/>
          <w:lang w:eastAsia="zh-CN"/>
        </w:rPr>
        <w:t>债权</w:t>
      </w:r>
      <w:r>
        <w:rPr>
          <w:rFonts w:hint="eastAsia" w:eastAsia="仿宋_GB2312"/>
          <w:sz w:val="32"/>
          <w:szCs w:val="30"/>
          <w:highlight w:val="none"/>
        </w:rPr>
        <w:t>总金额为28,992.72万元，包含债权3户，</w:t>
      </w:r>
      <w:r>
        <w:rPr>
          <w:rFonts w:hint="eastAsia" w:eastAsia="仿宋_GB2312"/>
          <w:sz w:val="32"/>
          <w:szCs w:val="30"/>
          <w:highlight w:val="none"/>
          <w:lang w:eastAsia="zh-CN"/>
        </w:rPr>
        <w:t>其中</w:t>
      </w:r>
      <w:r>
        <w:rPr>
          <w:rFonts w:hint="eastAsia" w:eastAsia="仿宋_GB2312"/>
          <w:sz w:val="32"/>
          <w:szCs w:val="30"/>
          <w:highlight w:val="none"/>
        </w:rPr>
        <w:t>本金25,199.80万元，利息（含罚息）3,792.92万元，具体情况详见标的资产清单。</w:t>
      </w:r>
    </w:p>
    <w:p w14:paraId="2BC7F5AD">
      <w:pPr>
        <w:adjustRightInd w:val="0"/>
        <w:snapToGrid w:val="0"/>
        <w:spacing w:before="156" w:beforeLines="50" w:after="156" w:afterLines="50" w:line="560" w:lineRule="exact"/>
        <w:ind w:firstLine="640" w:firstLineChars="200"/>
        <w:jc w:val="left"/>
        <w:rPr>
          <w:rFonts w:eastAsia="仿宋_GB2312"/>
          <w:sz w:val="32"/>
          <w:szCs w:val="30"/>
          <w:highlight w:val="none"/>
        </w:rPr>
      </w:pPr>
      <w:r>
        <w:rPr>
          <w:rFonts w:hint="eastAsia" w:eastAsia="仿宋_GB2312"/>
          <w:sz w:val="32"/>
          <w:szCs w:val="30"/>
          <w:highlight w:val="none"/>
          <w:lang w:eastAsia="zh-CN"/>
        </w:rPr>
        <w:t>特别说明：</w:t>
      </w:r>
      <w:r>
        <w:rPr>
          <w:rFonts w:hint="eastAsia" w:eastAsia="仿宋_GB2312"/>
          <w:sz w:val="32"/>
          <w:szCs w:val="30"/>
          <w:highlight w:val="none"/>
          <w:lang w:val="en-US" w:eastAsia="zh-CN"/>
        </w:rPr>
        <w:t>1.</w:t>
      </w:r>
      <w:r>
        <w:rPr>
          <w:rFonts w:hint="eastAsia" w:eastAsia="仿宋_GB2312"/>
          <w:sz w:val="32"/>
          <w:szCs w:val="30"/>
          <w:highlight w:val="none"/>
          <w:lang w:eastAsia="zh-CN"/>
        </w:rPr>
        <w:t>资产包内债权在</w:t>
      </w:r>
      <w:r>
        <w:rPr>
          <w:rFonts w:hint="eastAsia" w:eastAsia="仿宋_GB2312"/>
          <w:sz w:val="32"/>
          <w:szCs w:val="30"/>
          <w:highlight w:val="none"/>
        </w:rPr>
        <w:t>过渡期（指基准日至交割日期间</w:t>
      </w:r>
      <w:r>
        <w:rPr>
          <w:rFonts w:hint="eastAsia" w:eastAsia="仿宋_GB2312"/>
          <w:sz w:val="32"/>
          <w:szCs w:val="30"/>
          <w:highlight w:val="none"/>
          <w:lang w:eastAsia="zh-CN"/>
        </w:rPr>
        <w:t>，下同）</w:t>
      </w:r>
      <w:r>
        <w:rPr>
          <w:rFonts w:hint="eastAsia" w:eastAsia="仿宋_GB2312"/>
          <w:sz w:val="32"/>
          <w:szCs w:val="30"/>
          <w:highlight w:val="none"/>
        </w:rPr>
        <w:t>内如有债权本金</w:t>
      </w:r>
      <w:r>
        <w:rPr>
          <w:rFonts w:hint="eastAsia" w:eastAsia="仿宋_GB2312"/>
          <w:sz w:val="32"/>
          <w:szCs w:val="30"/>
          <w:highlight w:val="none"/>
          <w:lang w:eastAsia="zh-CN"/>
        </w:rPr>
        <w:t>回收</w:t>
      </w:r>
      <w:r>
        <w:rPr>
          <w:rFonts w:hint="eastAsia" w:eastAsia="仿宋_GB2312"/>
          <w:sz w:val="32"/>
          <w:szCs w:val="30"/>
          <w:highlight w:val="none"/>
        </w:rPr>
        <w:t>，扣除相关费用后我分公司有权选择冲抵</w:t>
      </w:r>
      <w:r>
        <w:rPr>
          <w:rFonts w:hint="eastAsia" w:eastAsia="仿宋_GB2312"/>
          <w:sz w:val="32"/>
          <w:szCs w:val="30"/>
          <w:highlight w:val="none"/>
          <w:lang w:eastAsia="zh-CN"/>
        </w:rPr>
        <w:t>本次处置交易</w:t>
      </w:r>
      <w:r>
        <w:rPr>
          <w:rFonts w:hint="eastAsia" w:eastAsia="仿宋_GB2312"/>
          <w:sz w:val="32"/>
          <w:szCs w:val="30"/>
          <w:highlight w:val="none"/>
        </w:rPr>
        <w:t>转让价款；</w:t>
      </w:r>
      <w:r>
        <w:rPr>
          <w:rFonts w:hint="eastAsia" w:eastAsia="仿宋_GB2312"/>
          <w:sz w:val="32"/>
          <w:szCs w:val="30"/>
          <w:highlight w:val="none"/>
          <w:lang w:val="en-US" w:eastAsia="zh-CN"/>
        </w:rPr>
        <w:t>2.</w:t>
      </w:r>
      <w:r>
        <w:rPr>
          <w:rFonts w:hint="eastAsia" w:eastAsia="仿宋_GB2312"/>
          <w:sz w:val="32"/>
          <w:szCs w:val="30"/>
          <w:highlight w:val="none"/>
        </w:rPr>
        <w:t>成都坤晟坤威置业有限公司债权在过渡期内的利息</w:t>
      </w:r>
      <w:r>
        <w:rPr>
          <w:rFonts w:hint="eastAsia" w:eastAsia="仿宋_GB2312"/>
          <w:sz w:val="32"/>
          <w:szCs w:val="30"/>
          <w:highlight w:val="none"/>
          <w:lang w:eastAsia="zh-CN"/>
        </w:rPr>
        <w:t>、罚息（如有）及违约金（如有）</w:t>
      </w:r>
      <w:r>
        <w:rPr>
          <w:rFonts w:hint="eastAsia" w:eastAsia="仿宋_GB2312"/>
          <w:sz w:val="32"/>
          <w:szCs w:val="30"/>
          <w:highlight w:val="none"/>
        </w:rPr>
        <w:t>归我分公司所有。</w:t>
      </w:r>
    </w:p>
    <w:p w14:paraId="3128A54C">
      <w:pPr>
        <w:adjustRightInd w:val="0"/>
        <w:snapToGrid w:val="0"/>
        <w:spacing w:before="156" w:beforeLines="50" w:after="156" w:afterLines="50" w:line="560" w:lineRule="exact"/>
        <w:ind w:firstLine="640" w:firstLineChars="200"/>
        <w:jc w:val="left"/>
        <w:rPr>
          <w:rFonts w:hint="default" w:eastAsia="仿宋_GB2312"/>
          <w:sz w:val="32"/>
          <w:szCs w:val="30"/>
          <w:highlight w:val="none"/>
          <w:lang w:val="en-US" w:eastAsia="zh-CN"/>
        </w:rPr>
      </w:pPr>
      <w:r>
        <w:rPr>
          <w:rFonts w:hint="eastAsia" w:eastAsia="仿宋_GB2312"/>
          <w:sz w:val="32"/>
          <w:szCs w:val="30"/>
          <w:highlight w:val="none"/>
        </w:rPr>
        <w:t>特别提示：标的资产信息仅供投资者参考</w:t>
      </w:r>
      <w:r>
        <w:rPr>
          <w:rFonts w:hint="eastAsia" w:eastAsia="仿宋_GB2312"/>
          <w:sz w:val="32"/>
          <w:szCs w:val="30"/>
          <w:highlight w:val="none"/>
          <w:lang w:eastAsia="zh-CN"/>
        </w:rPr>
        <w:t>。</w:t>
      </w:r>
      <w:r>
        <w:rPr>
          <w:rFonts w:hint="eastAsia" w:eastAsia="仿宋_GB2312"/>
          <w:sz w:val="32"/>
          <w:szCs w:val="30"/>
          <w:highlight w:val="none"/>
        </w:rPr>
        <w:t>就标的资产项下各笔债权及其附属担保权益的合法有效性及时效，以及债务人、担保人现状等，请投资者自行调查及</w:t>
      </w:r>
      <w:r>
        <w:rPr>
          <w:rFonts w:hint="eastAsia" w:eastAsia="仿宋_GB2312"/>
          <w:sz w:val="32"/>
          <w:szCs w:val="30"/>
          <w:highlight w:val="none"/>
          <w:lang w:eastAsia="zh-CN"/>
        </w:rPr>
        <w:t>独立审慎</w:t>
      </w:r>
      <w:r>
        <w:rPr>
          <w:rFonts w:hint="eastAsia" w:eastAsia="仿宋_GB2312"/>
          <w:sz w:val="32"/>
          <w:szCs w:val="30"/>
          <w:highlight w:val="none"/>
        </w:rPr>
        <w:t>判断，我分公司对此不作任何保证</w:t>
      </w:r>
      <w:r>
        <w:rPr>
          <w:rFonts w:hint="eastAsia" w:eastAsia="仿宋_GB2312" w:cs="仿宋_GB2312"/>
          <w:sz w:val="32"/>
          <w:szCs w:val="32"/>
          <w:highlight w:val="none"/>
        </w:rPr>
        <w:t>，不对其承担任何法律责任</w:t>
      </w:r>
      <w:r>
        <w:rPr>
          <w:rFonts w:hint="eastAsia" w:eastAsia="仿宋_GB2312" w:cs="仿宋_GB2312"/>
          <w:sz w:val="32"/>
          <w:szCs w:val="32"/>
          <w:highlight w:val="none"/>
          <w:lang w:eastAsia="zh-CN"/>
        </w:rPr>
        <w:t>。</w:t>
      </w:r>
    </w:p>
    <w:p w14:paraId="7F5A17F7">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本资产包的交易对象须为在中国境内注册并合法存续的法人或者其他组织或具有完全民事行为能力的自然人。</w:t>
      </w:r>
    </w:p>
    <w:p w14:paraId="3E566A3F">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交易对象不得为：(1)国家公务员、金融资产管理公司工作人员；(2)该项资产处置工作相关中介机构所属人员；(3)债务人、担保人为自然人的，其本人</w:t>
      </w:r>
      <w:r>
        <w:rPr>
          <w:rFonts w:hint="eastAsia" w:eastAsia="仿宋_GB2312"/>
          <w:sz w:val="32"/>
          <w:szCs w:val="32"/>
          <w:highlight w:val="none"/>
        </w:rPr>
        <w:t>及</w:t>
      </w:r>
      <w:r>
        <w:rPr>
          <w:rFonts w:hint="eastAsia" w:eastAsia="仿宋_GB2312"/>
          <w:sz w:val="32"/>
          <w:szCs w:val="30"/>
          <w:highlight w:val="none"/>
        </w:rPr>
        <w:t>其直系亲属；(4)债务企业的控股股东、实际控制人及其控股下属公司，担保企业及其控股下属公司，债务企业的其他关联企业；(5)上述主体出资成立的法人机构或特殊目的实体；(6)国家金融监督管理总局认定的其他不宜受让的主体。</w:t>
      </w:r>
    </w:p>
    <w:p w14:paraId="1436D51F">
      <w:pPr>
        <w:adjustRightInd w:val="0"/>
        <w:snapToGrid w:val="0"/>
        <w:spacing w:before="156" w:beforeLines="50" w:after="156" w:afterLines="50" w:line="560" w:lineRule="exact"/>
        <w:ind w:firstLine="640" w:firstLineChars="200"/>
        <w:rPr>
          <w:rFonts w:eastAsia="仿宋_GB2312"/>
          <w:sz w:val="32"/>
          <w:szCs w:val="30"/>
          <w:highlight w:val="none"/>
        </w:rPr>
      </w:pPr>
      <w:r>
        <w:rPr>
          <w:rFonts w:hint="eastAsia" w:eastAsia="仿宋_GB2312"/>
          <w:sz w:val="32"/>
          <w:szCs w:val="30"/>
          <w:highlight w:val="none"/>
        </w:rPr>
        <w:t>为严格防范交易各方及其关联人的道德风险，防止不正当交易，防范项目操作风险，非经合作对方同意，任何一方不得擅自通过任何中介（包括任何自然人、法人或其他组织）安排、实施本项目合作事宜。</w:t>
      </w:r>
    </w:p>
    <w:p w14:paraId="169ABEC3">
      <w:pPr>
        <w:adjustRightInd w:val="0"/>
        <w:snapToGrid w:val="0"/>
        <w:spacing w:before="156" w:beforeLines="50" w:after="156" w:afterLines="50" w:line="560" w:lineRule="exact"/>
        <w:ind w:firstLine="640" w:firstLineChars="200"/>
        <w:rPr>
          <w:rFonts w:eastAsia="仿宋_GB2312"/>
          <w:sz w:val="32"/>
          <w:szCs w:val="30"/>
          <w:highlight w:val="none"/>
        </w:rPr>
      </w:pPr>
      <w:r>
        <w:rPr>
          <w:rFonts w:hint="eastAsia" w:eastAsia="仿宋_GB2312"/>
          <w:sz w:val="32"/>
          <w:szCs w:val="30"/>
          <w:highlight w:val="none"/>
        </w:rPr>
        <w:t>交易双方不得以任何理由向对方及其工作人员、相关组织机构及其工作人员及前述组织和个人的关联方进行商业贿赂、馈赠钱物(现金、有价证券、信用卡、礼金、奖金、补贴、物品等)或进行其他任何形式的利益输送。</w:t>
      </w:r>
    </w:p>
    <w:p w14:paraId="4994F0AB">
      <w:pPr>
        <w:adjustRightInd w:val="0"/>
        <w:snapToGrid w:val="0"/>
        <w:spacing w:before="156" w:beforeLines="50" w:after="156" w:afterLines="50" w:line="560" w:lineRule="exact"/>
        <w:ind w:firstLine="640" w:firstLineChars="200"/>
        <w:rPr>
          <w:rFonts w:eastAsia="仿宋_GB2312"/>
          <w:sz w:val="32"/>
          <w:szCs w:val="30"/>
          <w:highlight w:val="none"/>
        </w:rPr>
      </w:pPr>
      <w:r>
        <w:rPr>
          <w:rFonts w:hint="eastAsia" w:eastAsia="仿宋_GB2312"/>
          <w:sz w:val="32"/>
          <w:szCs w:val="30"/>
          <w:highlight w:val="none"/>
        </w:rPr>
        <w:t>任何一方在项目运作过程中发现对方存在上述行为，有权提醒对方相关人士立即纠正，经制止拒不纠正的，应告知对方及时采取相应的法律行动。</w:t>
      </w:r>
    </w:p>
    <w:p w14:paraId="71E1A1F1">
      <w:pPr>
        <w:spacing w:after="100" w:afterAutospacing="1" w:line="560" w:lineRule="exact"/>
        <w:ind w:firstLine="640" w:firstLineChars="200"/>
        <w:rPr>
          <w:rFonts w:eastAsia="仿宋_GB2312" w:cs="宋体"/>
          <w:kern w:val="0"/>
          <w:sz w:val="32"/>
          <w:szCs w:val="30"/>
          <w:highlight w:val="none"/>
          <w:lang w:val="zh-CN"/>
        </w:rPr>
      </w:pPr>
      <w:r>
        <w:rPr>
          <w:rFonts w:hint="eastAsia" w:eastAsia="仿宋_GB2312" w:cs="宋体"/>
          <w:kern w:val="0"/>
          <w:sz w:val="32"/>
          <w:szCs w:val="30"/>
          <w:highlight w:val="none"/>
          <w:lang w:val="zh-CN"/>
        </w:rPr>
        <w:t>任何对标的资产处置持有异议者均可提出征询或异议。征询或异议的有效期限为自发布之日起</w:t>
      </w:r>
      <w:r>
        <w:rPr>
          <w:rFonts w:hint="eastAsia" w:eastAsia="仿宋_GB2312" w:cs="宋体"/>
          <w:kern w:val="0"/>
          <w:sz w:val="32"/>
          <w:szCs w:val="30"/>
          <w:highlight w:val="none"/>
          <w:lang w:val="en-US" w:eastAsia="zh-CN"/>
        </w:rPr>
        <w:t>7</w:t>
      </w:r>
      <w:r>
        <w:rPr>
          <w:rFonts w:hint="eastAsia" w:eastAsia="仿宋_GB2312" w:cs="宋体"/>
          <w:kern w:val="0"/>
          <w:sz w:val="32"/>
          <w:szCs w:val="30"/>
          <w:highlight w:val="none"/>
          <w:lang w:val="zh-CN"/>
        </w:rPr>
        <w:t>个工作日。</w:t>
      </w:r>
    </w:p>
    <w:p w14:paraId="780E81E0">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如投资者有意向了解资产包内标的资产的详细情况，请登录中国东方资产管理股份有限公司</w:t>
      </w:r>
      <w:bookmarkStart w:id="0" w:name="_GoBack"/>
      <w:bookmarkEnd w:id="0"/>
      <w:r>
        <w:rPr>
          <w:rFonts w:hint="eastAsia" w:eastAsia="仿宋_GB2312"/>
          <w:sz w:val="32"/>
          <w:szCs w:val="30"/>
          <w:highlight w:val="none"/>
        </w:rPr>
        <w:t>网站</w:t>
      </w:r>
      <w:r>
        <w:rPr>
          <w:rFonts w:hint="eastAsia" w:eastAsia="仿宋_GB2312"/>
          <w:sz w:val="32"/>
          <w:szCs w:val="32"/>
          <w:highlight w:val="none"/>
        </w:rPr>
        <w:t>http://sales.coamc.com.cn/coamc/</w:t>
      </w:r>
      <w:r>
        <w:rPr>
          <w:rFonts w:hint="eastAsia" w:eastAsia="仿宋_GB2312"/>
          <w:sz w:val="32"/>
          <w:szCs w:val="30"/>
          <w:highlight w:val="none"/>
        </w:rPr>
        <w:t>查询，或与我分公司交易联系人接洽查询。</w:t>
      </w:r>
    </w:p>
    <w:p w14:paraId="5F995ACB">
      <w:pPr>
        <w:adjustRightInd w:val="0"/>
        <w:snapToGrid w:val="0"/>
        <w:spacing w:before="156" w:beforeLines="50" w:after="156" w:afterLines="50" w:line="560" w:lineRule="exact"/>
        <w:ind w:firstLine="570"/>
        <w:rPr>
          <w:rFonts w:eastAsia="仿宋_GB2312"/>
          <w:sz w:val="32"/>
          <w:szCs w:val="32"/>
          <w:highlight w:val="none"/>
        </w:rPr>
      </w:pPr>
      <w:r>
        <w:rPr>
          <w:rFonts w:hint="eastAsia" w:eastAsia="仿宋_GB2312"/>
          <w:sz w:val="32"/>
          <w:szCs w:val="30"/>
          <w:highlight w:val="none"/>
        </w:rPr>
        <w:t>中国东方资产管理股份有限公司</w:t>
      </w:r>
      <w:r>
        <w:rPr>
          <w:rFonts w:hint="eastAsia" w:eastAsia="仿宋_GB2312"/>
          <w:sz w:val="32"/>
          <w:szCs w:val="32"/>
          <w:highlight w:val="none"/>
        </w:rPr>
        <w:t>四川省分公司</w:t>
      </w:r>
    </w:p>
    <w:p w14:paraId="193D17A8">
      <w:pPr>
        <w:adjustRightInd w:val="0"/>
        <w:snapToGrid w:val="0"/>
        <w:spacing w:before="156" w:beforeLines="50" w:after="156" w:afterLines="50" w:line="560" w:lineRule="exact"/>
        <w:ind w:firstLine="570"/>
        <w:rPr>
          <w:rFonts w:hint="eastAsia" w:eastAsia="仿宋_GB2312"/>
          <w:sz w:val="32"/>
          <w:szCs w:val="30"/>
          <w:highlight w:val="none"/>
          <w:lang w:eastAsia="zh-CN"/>
        </w:rPr>
      </w:pPr>
      <w:r>
        <w:rPr>
          <w:rFonts w:hint="eastAsia" w:eastAsia="仿宋_GB2312"/>
          <w:sz w:val="32"/>
          <w:szCs w:val="30"/>
          <w:highlight w:val="none"/>
        </w:rPr>
        <w:t>联系人：张</w:t>
      </w:r>
      <w:r>
        <w:rPr>
          <w:rFonts w:hint="eastAsia" w:eastAsia="仿宋_GB2312"/>
          <w:sz w:val="32"/>
          <w:szCs w:val="30"/>
          <w:highlight w:val="none"/>
          <w:lang w:eastAsia="zh-CN"/>
        </w:rPr>
        <w:t>女士</w:t>
      </w:r>
      <w:r>
        <w:rPr>
          <w:rFonts w:hint="eastAsia" w:eastAsia="仿宋_GB2312"/>
          <w:sz w:val="32"/>
          <w:szCs w:val="30"/>
          <w:highlight w:val="none"/>
        </w:rPr>
        <w:t>、童</w:t>
      </w:r>
      <w:r>
        <w:rPr>
          <w:rFonts w:hint="eastAsia" w:eastAsia="仿宋_GB2312"/>
          <w:sz w:val="32"/>
          <w:szCs w:val="30"/>
          <w:highlight w:val="none"/>
          <w:lang w:eastAsia="zh-CN"/>
        </w:rPr>
        <w:t>先生</w:t>
      </w:r>
    </w:p>
    <w:p w14:paraId="57C14FD0">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电话：028-86403866、028-86403839</w:t>
      </w:r>
    </w:p>
    <w:p w14:paraId="2E1FB8DA">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手机：13618038482、18081081850</w:t>
      </w:r>
    </w:p>
    <w:p w14:paraId="12035851">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邮箱：zhangzhimin@coamc.com.cn</w:t>
      </w:r>
    </w:p>
    <w:p w14:paraId="255FDC17">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地址：成都市人民中路二段35号中银大厦30楼</w:t>
      </w:r>
    </w:p>
    <w:p w14:paraId="698B2ED4">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对排斥、阻挠异议或征询的行为可向有关部门举报。</w:t>
      </w:r>
    </w:p>
    <w:p w14:paraId="1B905801">
      <w:pPr>
        <w:adjustRightInd w:val="0"/>
        <w:snapToGrid w:val="0"/>
        <w:spacing w:before="156" w:beforeLines="50" w:after="156" w:afterLines="50" w:line="560" w:lineRule="exact"/>
        <w:ind w:firstLine="570"/>
        <w:rPr>
          <w:rFonts w:eastAsia="仿宋_GB2312"/>
          <w:sz w:val="32"/>
          <w:szCs w:val="30"/>
          <w:highlight w:val="none"/>
        </w:rPr>
      </w:pPr>
      <w:r>
        <w:rPr>
          <w:rFonts w:hint="eastAsia" w:eastAsia="仿宋_GB2312"/>
          <w:sz w:val="32"/>
          <w:szCs w:val="30"/>
          <w:highlight w:val="none"/>
        </w:rPr>
        <w:t>举报电话：010-66507226（中国东方资产管理股份有限公司纪委办公室）；028-86403862（中国东方资产管理股份有限公司四川省分公司）</w:t>
      </w:r>
    </w:p>
    <w:p w14:paraId="0B8CE1CD">
      <w:pPr>
        <w:adjustRightInd w:val="0"/>
        <w:snapToGrid w:val="0"/>
        <w:spacing w:before="156" w:beforeLines="50" w:after="156" w:afterLines="50" w:line="560" w:lineRule="exact"/>
        <w:ind w:firstLine="640" w:firstLineChars="200"/>
        <w:rPr>
          <w:rFonts w:eastAsia="仿宋_GB2312"/>
          <w:sz w:val="32"/>
          <w:szCs w:val="32"/>
          <w:highlight w:val="none"/>
        </w:rPr>
      </w:pPr>
      <w:r>
        <w:rPr>
          <w:rFonts w:hint="eastAsia" w:eastAsia="仿宋_GB2312"/>
          <w:sz w:val="32"/>
          <w:szCs w:val="32"/>
          <w:highlight w:val="none"/>
        </w:rPr>
        <w:t>监督管理部门：国家金融监督管理总局四川监管局 电话：12378、028-61896900</w:t>
      </w:r>
    </w:p>
    <w:p w14:paraId="36BF3B3B">
      <w:pPr>
        <w:adjustRightInd w:val="0"/>
        <w:snapToGrid w:val="0"/>
        <w:spacing w:before="156" w:beforeLines="50" w:after="156" w:afterLines="50" w:line="560" w:lineRule="exact"/>
        <w:ind w:firstLine="640" w:firstLineChars="200"/>
        <w:rPr>
          <w:rFonts w:eastAsia="仿宋_GB2312"/>
          <w:sz w:val="32"/>
          <w:szCs w:val="30"/>
          <w:highlight w:val="none"/>
        </w:rPr>
      </w:pPr>
      <w:r>
        <w:rPr>
          <w:rFonts w:hint="eastAsia" w:eastAsia="仿宋_GB2312"/>
          <w:sz w:val="32"/>
          <w:szCs w:val="32"/>
          <w:highlight w:val="none"/>
        </w:rPr>
        <w:t>财政部四川监管局 电话：028-86922601</w:t>
      </w:r>
    </w:p>
    <w:p w14:paraId="61502464">
      <w:pPr>
        <w:spacing w:line="560" w:lineRule="exact"/>
        <w:ind w:firstLine="640" w:firstLineChars="200"/>
        <w:rPr>
          <w:rFonts w:eastAsia="仿宋_GB2312"/>
          <w:sz w:val="32"/>
          <w:szCs w:val="30"/>
          <w:highlight w:val="none"/>
        </w:rPr>
      </w:pPr>
      <w:r>
        <w:rPr>
          <w:rFonts w:hint="eastAsia" w:eastAsia="仿宋_GB2312"/>
          <w:sz w:val="32"/>
          <w:szCs w:val="30"/>
          <w:highlight w:val="none"/>
        </w:rPr>
        <w:t>特别声明：本公告不构成一项要约。本公告的有效期限为自发布之日起</w:t>
      </w:r>
      <w:r>
        <w:rPr>
          <w:rFonts w:hint="eastAsia" w:eastAsia="仿宋_GB2312"/>
          <w:sz w:val="32"/>
          <w:szCs w:val="30"/>
          <w:highlight w:val="none"/>
          <w:lang w:val="en-US" w:eastAsia="zh-CN"/>
        </w:rPr>
        <w:t>7</w:t>
      </w:r>
      <w:r>
        <w:rPr>
          <w:rFonts w:hint="eastAsia" w:eastAsia="仿宋_GB2312"/>
          <w:sz w:val="32"/>
          <w:szCs w:val="30"/>
          <w:highlight w:val="none"/>
        </w:rPr>
        <w:t>个工作日。</w:t>
      </w:r>
    </w:p>
    <w:p w14:paraId="5A9107FD">
      <w:pPr>
        <w:spacing w:line="560" w:lineRule="exact"/>
        <w:ind w:firstLine="640" w:firstLineChars="200"/>
        <w:rPr>
          <w:rFonts w:eastAsia="仿宋_GB2312"/>
          <w:sz w:val="32"/>
          <w:szCs w:val="32"/>
          <w:highlight w:val="none"/>
        </w:rPr>
      </w:pPr>
      <w:r>
        <w:rPr>
          <w:rFonts w:hint="eastAsia" w:eastAsia="仿宋_GB2312"/>
          <w:sz w:val="32"/>
          <w:szCs w:val="32"/>
          <w:highlight w:val="none"/>
        </w:rPr>
        <w:t>特此公告。</w:t>
      </w:r>
    </w:p>
    <w:p w14:paraId="08EC51D3">
      <w:pPr>
        <w:spacing w:line="560" w:lineRule="exact"/>
        <w:ind w:firstLine="640" w:firstLineChars="200"/>
        <w:rPr>
          <w:rFonts w:eastAsia="仿宋_GB2312"/>
          <w:sz w:val="32"/>
          <w:szCs w:val="30"/>
          <w:highlight w:val="none"/>
        </w:rPr>
      </w:pPr>
    </w:p>
    <w:p w14:paraId="6D0BC81E">
      <w:pPr>
        <w:spacing w:line="560" w:lineRule="exact"/>
        <w:jc w:val="right"/>
        <w:rPr>
          <w:rFonts w:eastAsia="仿宋_GB2312"/>
          <w:sz w:val="32"/>
          <w:szCs w:val="32"/>
          <w:highlight w:val="none"/>
        </w:rPr>
      </w:pPr>
      <w:r>
        <w:rPr>
          <w:rFonts w:hint="eastAsia" w:eastAsia="仿宋_GB2312"/>
          <w:sz w:val="32"/>
          <w:szCs w:val="30"/>
          <w:highlight w:val="none"/>
        </w:rPr>
        <w:t xml:space="preserve">                  </w:t>
      </w:r>
      <w:r>
        <w:rPr>
          <w:rFonts w:hint="eastAsia" w:eastAsia="仿宋_GB2312"/>
          <w:sz w:val="32"/>
          <w:szCs w:val="32"/>
          <w:highlight w:val="none"/>
        </w:rPr>
        <w:t>中国东方资产管理股份有限公司</w:t>
      </w:r>
      <w:r>
        <w:rPr>
          <w:rFonts w:hint="eastAsia" w:eastAsia="仿宋_GB2312" w:cs="仿宋_GB2312"/>
          <w:sz w:val="32"/>
          <w:szCs w:val="32"/>
          <w:highlight w:val="none"/>
        </w:rPr>
        <w:t>四川省</w:t>
      </w:r>
      <w:r>
        <w:rPr>
          <w:rFonts w:hint="eastAsia" w:eastAsia="仿宋_GB2312"/>
          <w:sz w:val="32"/>
          <w:szCs w:val="32"/>
          <w:highlight w:val="none"/>
        </w:rPr>
        <w:t>分公司</w:t>
      </w:r>
    </w:p>
    <w:p w14:paraId="78091723">
      <w:pPr>
        <w:spacing w:line="560" w:lineRule="exact"/>
        <w:ind w:firstLine="640" w:firstLineChars="200"/>
        <w:jc w:val="right"/>
        <w:rPr>
          <w:rFonts w:eastAsia="仿宋_GB2312"/>
          <w:sz w:val="32"/>
          <w:szCs w:val="32"/>
          <w:highlight w:val="none"/>
        </w:rPr>
      </w:pPr>
      <w:r>
        <w:rPr>
          <w:rFonts w:hint="eastAsia" w:eastAsia="仿宋_GB2312"/>
          <w:sz w:val="32"/>
          <w:szCs w:val="32"/>
          <w:highlight w:val="none"/>
        </w:rPr>
        <w:t xml:space="preserve">                                  </w:t>
      </w:r>
      <w:r>
        <w:rPr>
          <w:rFonts w:hint="eastAsia" w:eastAsia="仿宋_GB2312" w:cs="仿宋_GB2312"/>
          <w:sz w:val="32"/>
          <w:szCs w:val="32"/>
          <w:highlight w:val="none"/>
        </w:rPr>
        <w:t>2026</w:t>
      </w:r>
      <w:r>
        <w:rPr>
          <w:rFonts w:hint="eastAsia" w:eastAsia="仿宋_GB2312"/>
          <w:sz w:val="32"/>
          <w:szCs w:val="32"/>
          <w:highlight w:val="none"/>
        </w:rPr>
        <w:t>年</w:t>
      </w:r>
      <w:r>
        <w:rPr>
          <w:rFonts w:hint="eastAsia" w:eastAsia="仿宋_GB2312" w:cs="仿宋_GB2312"/>
          <w:sz w:val="32"/>
          <w:szCs w:val="32"/>
          <w:highlight w:val="none"/>
        </w:rPr>
        <w:t>9</w:t>
      </w:r>
      <w:r>
        <w:rPr>
          <w:rFonts w:hint="eastAsia" w:eastAsia="仿宋_GB2312"/>
          <w:sz w:val="32"/>
          <w:szCs w:val="32"/>
          <w:highlight w:val="none"/>
        </w:rPr>
        <w:t>月</w:t>
      </w:r>
      <w:r>
        <w:rPr>
          <w:rFonts w:hint="eastAsia" w:eastAsia="仿宋_GB2312" w:cs="仿宋_GB2312"/>
          <w:sz w:val="32"/>
          <w:szCs w:val="32"/>
          <w:highlight w:val="none"/>
          <w:lang w:val="en-US" w:eastAsia="zh-CN"/>
        </w:rPr>
        <w:t>30</w:t>
      </w:r>
      <w:r>
        <w:rPr>
          <w:rFonts w:hint="eastAsia" w:eastAsia="仿宋_GB2312"/>
          <w:sz w:val="32"/>
          <w:szCs w:val="32"/>
          <w:highlight w:val="none"/>
        </w:rPr>
        <w:t>日</w:t>
      </w:r>
    </w:p>
    <w:p w14:paraId="0FC99DD1">
      <w:pPr>
        <w:pageBreakBefore/>
        <w:spacing w:line="560" w:lineRule="exact"/>
        <w:ind w:right="118" w:rightChars="56"/>
        <w:rPr>
          <w:rFonts w:eastAsia="仿宋_GB2312" w:cs="仿宋_GB2312"/>
          <w:sz w:val="32"/>
          <w:szCs w:val="32"/>
          <w:highlight w:val="none"/>
        </w:rPr>
      </w:pPr>
      <w:r>
        <w:rPr>
          <w:rFonts w:hint="eastAsia" w:eastAsia="仿宋_GB2312" w:cs="仿宋_GB2312"/>
          <w:sz w:val="32"/>
          <w:szCs w:val="32"/>
          <w:highlight w:val="none"/>
        </w:rPr>
        <w:t>标的资产清单（基准日2026年9月20日）</w:t>
      </w:r>
    </w:p>
    <w:p w14:paraId="44B81765">
      <w:pPr>
        <w:spacing w:line="560" w:lineRule="exact"/>
        <w:ind w:left="7040" w:right="118" w:rightChars="56" w:hanging="7040" w:hangingChars="2200"/>
        <w:rPr>
          <w:rFonts w:eastAsia="仿宋_GB2312" w:cs="仿宋_GB2312"/>
          <w:sz w:val="32"/>
          <w:szCs w:val="32"/>
          <w:highlight w:val="none"/>
        </w:rPr>
      </w:pPr>
      <w:r>
        <w:rPr>
          <w:rFonts w:hint="eastAsia" w:eastAsia="仿宋_GB2312" w:cs="仿宋_GB2312"/>
          <w:sz w:val="32"/>
          <w:szCs w:val="32"/>
          <w:highlight w:val="none"/>
        </w:rPr>
        <w:t xml:space="preserve">成都坤晟坤威置业有限公司等3户债权资产包内各项资产明细如下：                                            </w:t>
      </w:r>
      <w:r>
        <w:rPr>
          <w:rFonts w:hint="eastAsia" w:eastAsia="仿宋_GB2312" w:cs="仿宋_GB2312"/>
          <w:sz w:val="21"/>
          <w:szCs w:val="21"/>
          <w:highlight w:val="none"/>
        </w:rPr>
        <w:t>单位：万元</w:t>
      </w:r>
    </w:p>
    <w:tbl>
      <w:tblPr>
        <w:tblStyle w:val="7"/>
        <w:tblW w:w="47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0" w:type="dxa"/>
          <w:bottom w:w="0" w:type="dxa"/>
          <w:right w:w="60" w:type="dxa"/>
        </w:tblCellMar>
      </w:tblPr>
      <w:tblGrid>
        <w:gridCol w:w="324"/>
        <w:gridCol w:w="1076"/>
        <w:gridCol w:w="471"/>
        <w:gridCol w:w="758"/>
        <w:gridCol w:w="844"/>
        <w:gridCol w:w="502"/>
        <w:gridCol w:w="3333"/>
        <w:gridCol w:w="1779"/>
      </w:tblGrid>
      <w:tr w14:paraId="2E3F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cantSplit/>
          <w:jc w:val="center"/>
        </w:trPr>
        <w:tc>
          <w:tcPr>
            <w:tcW w:w="178" w:type="pct"/>
            <w:vAlign w:val="center"/>
          </w:tcPr>
          <w:p w14:paraId="65664792">
            <w:pPr>
              <w:spacing w:before="20" w:after="20" w:line="280" w:lineRule="auto"/>
              <w:jc w:val="center"/>
              <w:rPr>
                <w:rFonts w:eastAsia="仿宋_GB2312" w:cs="仿宋_GB2312"/>
                <w:szCs w:val="21"/>
                <w:highlight w:val="none"/>
              </w:rPr>
            </w:pPr>
            <w:r>
              <w:rPr>
                <w:rFonts w:hint="eastAsia" w:eastAsia="仿宋_GB2312"/>
                <w:b/>
                <w:sz w:val="18"/>
                <w:szCs w:val="18"/>
                <w:highlight w:val="none"/>
              </w:rPr>
              <w:t>序号</w:t>
            </w:r>
          </w:p>
        </w:tc>
        <w:tc>
          <w:tcPr>
            <w:tcW w:w="592" w:type="pct"/>
            <w:vAlign w:val="center"/>
          </w:tcPr>
          <w:p w14:paraId="1FD489A0">
            <w:pPr>
              <w:spacing w:before="20" w:after="20" w:line="280" w:lineRule="auto"/>
              <w:jc w:val="left"/>
              <w:rPr>
                <w:rFonts w:eastAsia="仿宋_GB2312" w:cs="仿宋_GB2312"/>
                <w:szCs w:val="21"/>
                <w:highlight w:val="none"/>
              </w:rPr>
            </w:pPr>
            <w:r>
              <w:rPr>
                <w:rFonts w:hint="eastAsia" w:eastAsia="仿宋_GB2312"/>
                <w:b/>
                <w:sz w:val="18"/>
                <w:szCs w:val="18"/>
                <w:highlight w:val="none"/>
              </w:rPr>
              <w:t>借款人（债务人名称</w:t>
            </w:r>
            <w:r>
              <w:rPr>
                <w:rFonts w:eastAsia="仿宋_GB2312"/>
                <w:b/>
                <w:sz w:val="18"/>
                <w:szCs w:val="18"/>
                <w:highlight w:val="none"/>
              </w:rPr>
              <w:t>）</w:t>
            </w:r>
          </w:p>
        </w:tc>
        <w:tc>
          <w:tcPr>
            <w:tcW w:w="259" w:type="pct"/>
            <w:vAlign w:val="center"/>
          </w:tcPr>
          <w:p w14:paraId="37B093F2">
            <w:pPr>
              <w:spacing w:before="20" w:after="20" w:line="280" w:lineRule="auto"/>
              <w:jc w:val="center"/>
              <w:rPr>
                <w:rFonts w:eastAsia="仿宋_GB2312" w:cs="仿宋_GB2312"/>
                <w:szCs w:val="21"/>
                <w:highlight w:val="none"/>
              </w:rPr>
            </w:pPr>
            <w:r>
              <w:rPr>
                <w:rFonts w:hint="eastAsia" w:eastAsia="仿宋_GB2312"/>
                <w:b/>
                <w:sz w:val="18"/>
                <w:szCs w:val="18"/>
                <w:highlight w:val="none"/>
              </w:rPr>
              <w:t>币种</w:t>
            </w:r>
          </w:p>
        </w:tc>
        <w:tc>
          <w:tcPr>
            <w:tcW w:w="417" w:type="pct"/>
            <w:vAlign w:val="center"/>
          </w:tcPr>
          <w:p w14:paraId="0C287612">
            <w:pPr>
              <w:spacing w:before="20" w:after="20" w:line="280" w:lineRule="auto"/>
              <w:jc w:val="center"/>
              <w:rPr>
                <w:rFonts w:eastAsia="仿宋_GB2312" w:cs="仿宋_GB2312"/>
                <w:szCs w:val="21"/>
                <w:highlight w:val="none"/>
              </w:rPr>
            </w:pPr>
            <w:r>
              <w:rPr>
                <w:rFonts w:hint="eastAsia" w:eastAsia="仿宋_GB2312"/>
                <w:b/>
                <w:sz w:val="18"/>
                <w:szCs w:val="18"/>
                <w:highlight w:val="none"/>
              </w:rPr>
              <w:t>本金</w:t>
            </w:r>
          </w:p>
        </w:tc>
        <w:tc>
          <w:tcPr>
            <w:tcW w:w="464" w:type="pct"/>
            <w:vAlign w:val="center"/>
          </w:tcPr>
          <w:p w14:paraId="07464B23">
            <w:pPr>
              <w:spacing w:before="20" w:after="20" w:line="280" w:lineRule="auto"/>
              <w:jc w:val="center"/>
              <w:rPr>
                <w:rFonts w:hint="eastAsia" w:eastAsia="仿宋_GB2312" w:cs="仿宋_GB2312"/>
                <w:szCs w:val="21"/>
                <w:highlight w:val="none"/>
                <w:lang w:eastAsia="zh-CN"/>
              </w:rPr>
            </w:pPr>
            <w:r>
              <w:rPr>
                <w:rFonts w:hint="eastAsia" w:eastAsia="仿宋_GB2312"/>
                <w:b/>
                <w:sz w:val="18"/>
                <w:szCs w:val="18"/>
                <w:highlight w:val="none"/>
              </w:rPr>
              <w:t>利息</w:t>
            </w:r>
            <w:r>
              <w:rPr>
                <w:rFonts w:hint="eastAsia" w:eastAsia="仿宋_GB2312"/>
                <w:b/>
                <w:sz w:val="18"/>
                <w:szCs w:val="18"/>
                <w:highlight w:val="none"/>
                <w:lang w:eastAsia="zh-CN"/>
              </w:rPr>
              <w:t>（含罚息）</w:t>
            </w:r>
          </w:p>
        </w:tc>
        <w:tc>
          <w:tcPr>
            <w:tcW w:w="276" w:type="pct"/>
            <w:vAlign w:val="center"/>
          </w:tcPr>
          <w:p w14:paraId="2EBD32D7">
            <w:pPr>
              <w:spacing w:before="20" w:after="20" w:line="280" w:lineRule="auto"/>
              <w:jc w:val="center"/>
              <w:rPr>
                <w:rFonts w:eastAsia="仿宋_GB2312" w:cs="仿宋_GB2312"/>
                <w:szCs w:val="21"/>
                <w:highlight w:val="none"/>
              </w:rPr>
            </w:pPr>
            <w:r>
              <w:rPr>
                <w:rFonts w:hint="eastAsia" w:eastAsia="仿宋_GB2312"/>
                <w:b/>
                <w:sz w:val="18"/>
                <w:szCs w:val="18"/>
                <w:highlight w:val="none"/>
              </w:rPr>
              <w:t>代垫费用</w:t>
            </w:r>
          </w:p>
        </w:tc>
        <w:tc>
          <w:tcPr>
            <w:tcW w:w="1833" w:type="pct"/>
            <w:vAlign w:val="center"/>
          </w:tcPr>
          <w:p w14:paraId="2B5433A1">
            <w:pPr>
              <w:spacing w:before="20" w:after="20" w:line="280" w:lineRule="auto"/>
              <w:jc w:val="center"/>
              <w:rPr>
                <w:rFonts w:eastAsia="仿宋_GB2312" w:cs="仿宋_GB2312"/>
                <w:szCs w:val="21"/>
                <w:highlight w:val="none"/>
              </w:rPr>
            </w:pPr>
            <w:r>
              <w:rPr>
                <w:rFonts w:hint="eastAsia" w:eastAsia="仿宋_GB2312"/>
                <w:b/>
                <w:sz w:val="18"/>
                <w:szCs w:val="18"/>
                <w:highlight w:val="none"/>
              </w:rPr>
              <w:t>担保情况</w:t>
            </w:r>
          </w:p>
        </w:tc>
        <w:tc>
          <w:tcPr>
            <w:tcW w:w="978" w:type="pct"/>
            <w:vAlign w:val="center"/>
          </w:tcPr>
          <w:p w14:paraId="584D72F1">
            <w:pPr>
              <w:spacing w:before="20" w:after="20" w:line="280" w:lineRule="auto"/>
              <w:jc w:val="center"/>
              <w:rPr>
                <w:rFonts w:eastAsia="仿宋_GB2312" w:cs="仿宋_GB2312"/>
                <w:szCs w:val="21"/>
                <w:highlight w:val="none"/>
              </w:rPr>
            </w:pPr>
            <w:r>
              <w:rPr>
                <w:rFonts w:hint="eastAsia" w:eastAsia="仿宋_GB2312"/>
                <w:b/>
                <w:sz w:val="18"/>
                <w:szCs w:val="18"/>
                <w:highlight w:val="none"/>
              </w:rPr>
              <w:t>当前资产状况</w:t>
            </w:r>
          </w:p>
        </w:tc>
      </w:tr>
      <w:tr w14:paraId="18D9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cantSplit/>
          <w:jc w:val="center"/>
        </w:trPr>
        <w:tc>
          <w:tcPr>
            <w:tcW w:w="178" w:type="pct"/>
            <w:vAlign w:val="center"/>
          </w:tcPr>
          <w:p w14:paraId="5006B0D2">
            <w:pPr>
              <w:spacing w:before="20" w:after="20" w:line="280" w:lineRule="auto"/>
              <w:jc w:val="center"/>
              <w:rPr>
                <w:rFonts w:eastAsia="仿宋_GB2312"/>
                <w:sz w:val="32"/>
                <w:szCs w:val="32"/>
                <w:highlight w:val="none"/>
              </w:rPr>
            </w:pPr>
            <w:r>
              <w:rPr>
                <w:rFonts w:hint="eastAsia" w:eastAsia="仿宋_GB2312"/>
                <w:sz w:val="18"/>
                <w:szCs w:val="18"/>
                <w:highlight w:val="none"/>
              </w:rPr>
              <w:t>1</w:t>
            </w:r>
          </w:p>
        </w:tc>
        <w:tc>
          <w:tcPr>
            <w:tcW w:w="592" w:type="pct"/>
            <w:vAlign w:val="center"/>
          </w:tcPr>
          <w:p w14:paraId="2BBA3B50">
            <w:pPr>
              <w:spacing w:before="20" w:after="20" w:line="280" w:lineRule="auto"/>
              <w:jc w:val="left"/>
              <w:rPr>
                <w:rFonts w:eastAsia="仿宋_GB2312"/>
                <w:sz w:val="18"/>
                <w:szCs w:val="18"/>
                <w:highlight w:val="none"/>
              </w:rPr>
            </w:pPr>
            <w:r>
              <w:rPr>
                <w:rFonts w:hint="eastAsia" w:eastAsia="仿宋_GB2312"/>
                <w:bCs/>
                <w:sz w:val="18"/>
                <w:szCs w:val="18"/>
                <w:highlight w:val="none"/>
              </w:rPr>
              <w:t>成都坤晟坤威置业有限公司（共同债务人：湖北达通元实企业管理有限公司）</w:t>
            </w:r>
          </w:p>
        </w:tc>
        <w:tc>
          <w:tcPr>
            <w:tcW w:w="259" w:type="pct"/>
            <w:vAlign w:val="center"/>
          </w:tcPr>
          <w:p w14:paraId="2282296E">
            <w:pPr>
              <w:spacing w:before="20" w:after="20" w:line="280" w:lineRule="auto"/>
              <w:jc w:val="center"/>
              <w:rPr>
                <w:rFonts w:eastAsia="仿宋_GB2312"/>
                <w:sz w:val="18"/>
                <w:szCs w:val="18"/>
                <w:highlight w:val="none"/>
              </w:rPr>
            </w:pPr>
            <w:r>
              <w:rPr>
                <w:rFonts w:hint="eastAsia" w:eastAsia="仿宋_GB2312"/>
                <w:sz w:val="18"/>
                <w:szCs w:val="18"/>
                <w:highlight w:val="none"/>
              </w:rPr>
              <w:t>人民币</w:t>
            </w:r>
          </w:p>
        </w:tc>
        <w:tc>
          <w:tcPr>
            <w:tcW w:w="417" w:type="pct"/>
            <w:vAlign w:val="center"/>
          </w:tcPr>
          <w:p w14:paraId="767C31BB">
            <w:pPr>
              <w:spacing w:before="20" w:after="20" w:line="280" w:lineRule="auto"/>
              <w:jc w:val="center"/>
              <w:rPr>
                <w:rFonts w:eastAsia="仿宋_GB2312"/>
                <w:sz w:val="18"/>
                <w:szCs w:val="18"/>
                <w:highlight w:val="none"/>
              </w:rPr>
            </w:pPr>
            <w:r>
              <w:rPr>
                <w:rFonts w:hint="eastAsia" w:eastAsia="仿宋_GB2312"/>
                <w:sz w:val="18"/>
                <w:szCs w:val="18"/>
                <w:highlight w:val="none"/>
              </w:rPr>
              <w:t>18,500</w:t>
            </w:r>
          </w:p>
        </w:tc>
        <w:tc>
          <w:tcPr>
            <w:tcW w:w="464" w:type="pct"/>
            <w:vAlign w:val="center"/>
          </w:tcPr>
          <w:p w14:paraId="158CCBCC">
            <w:pPr>
              <w:spacing w:before="20" w:after="20" w:line="280" w:lineRule="auto"/>
              <w:jc w:val="center"/>
              <w:rPr>
                <w:rFonts w:eastAsia="仿宋_GB2312"/>
                <w:sz w:val="18"/>
                <w:szCs w:val="18"/>
                <w:highlight w:val="none"/>
              </w:rPr>
            </w:pPr>
            <w:r>
              <w:rPr>
                <w:rFonts w:hint="eastAsia" w:eastAsia="仿宋_GB2312"/>
                <w:sz w:val="18"/>
                <w:szCs w:val="18"/>
                <w:highlight w:val="none"/>
              </w:rPr>
              <w:t>0</w:t>
            </w:r>
          </w:p>
        </w:tc>
        <w:tc>
          <w:tcPr>
            <w:tcW w:w="276" w:type="pct"/>
            <w:vAlign w:val="center"/>
          </w:tcPr>
          <w:p w14:paraId="55730422">
            <w:pPr>
              <w:spacing w:before="20" w:after="20" w:line="280" w:lineRule="auto"/>
              <w:jc w:val="center"/>
              <w:rPr>
                <w:rFonts w:eastAsia="仿宋_GB2312"/>
                <w:sz w:val="32"/>
                <w:szCs w:val="32"/>
                <w:highlight w:val="none"/>
              </w:rPr>
            </w:pPr>
            <w:r>
              <w:rPr>
                <w:rFonts w:hint="eastAsia" w:eastAsia="仿宋_GB2312"/>
                <w:sz w:val="18"/>
                <w:szCs w:val="18"/>
                <w:highlight w:val="none"/>
              </w:rPr>
              <w:t>0</w:t>
            </w:r>
          </w:p>
        </w:tc>
        <w:tc>
          <w:tcPr>
            <w:tcW w:w="1833" w:type="pct"/>
            <w:vAlign w:val="center"/>
          </w:tcPr>
          <w:p w14:paraId="387280F1">
            <w:pPr>
              <w:spacing w:before="20" w:after="20" w:line="280" w:lineRule="auto"/>
              <w:jc w:val="left"/>
              <w:rPr>
                <w:rFonts w:eastAsia="仿宋_GB2312"/>
                <w:sz w:val="18"/>
                <w:szCs w:val="18"/>
                <w:highlight w:val="none"/>
              </w:rPr>
            </w:pPr>
            <w:r>
              <w:rPr>
                <w:rFonts w:hint="eastAsia" w:eastAsia="仿宋_GB2312"/>
                <w:bCs/>
                <w:sz w:val="18"/>
                <w:szCs w:val="18"/>
                <w:highlight w:val="none"/>
              </w:rPr>
              <w:t>成都坤晟坤威置业有限公司以其位于成都市</w:t>
            </w:r>
            <w:r>
              <w:rPr>
                <w:rFonts w:hint="eastAsia" w:eastAsia="仿宋_GB2312"/>
                <w:bCs/>
                <w:sz w:val="18"/>
                <w:szCs w:val="18"/>
                <w:highlight w:val="none"/>
                <w:lang w:eastAsia="zh-CN"/>
              </w:rPr>
              <w:t>成华区</w:t>
            </w:r>
            <w:r>
              <w:rPr>
                <w:rFonts w:hint="eastAsia" w:eastAsia="仿宋_GB2312"/>
                <w:bCs/>
                <w:sz w:val="18"/>
                <w:szCs w:val="18"/>
                <w:highlight w:val="none"/>
              </w:rPr>
              <w:t>一环路东三段1号面积为16,307.3㎡的国有土地使用</w:t>
            </w:r>
            <w:r>
              <w:rPr>
                <w:rFonts w:hint="eastAsia" w:eastAsia="仿宋_GB2312"/>
                <w:bCs/>
                <w:sz w:val="18"/>
                <w:szCs w:val="18"/>
                <w:highlight w:val="none"/>
                <w:lang w:eastAsia="zh-CN"/>
              </w:rPr>
              <w:t>权</w:t>
            </w:r>
            <w:r>
              <w:rPr>
                <w:rFonts w:hint="eastAsia" w:eastAsia="仿宋_GB2312"/>
                <w:bCs/>
                <w:sz w:val="18"/>
                <w:szCs w:val="18"/>
                <w:highlight w:val="none"/>
              </w:rPr>
              <w:t>提供抵押担保，温州旭德企业管理有限公司持有成都坤晟坤威置业有限公司的100%股权提供质押担保；温州旭德企业管理有限公司、坤威控股有限公司</w:t>
            </w:r>
            <w:r>
              <w:rPr>
                <w:rFonts w:hint="eastAsia" w:eastAsia="仿宋_GB2312"/>
                <w:bCs/>
                <w:sz w:val="18"/>
                <w:szCs w:val="18"/>
                <w:highlight w:val="none"/>
                <w:lang w:eastAsia="zh-CN"/>
              </w:rPr>
              <w:t>（现更名为温州道能咨询管理有限公司）</w:t>
            </w:r>
            <w:r>
              <w:rPr>
                <w:rFonts w:hint="eastAsia" w:eastAsia="仿宋_GB2312"/>
                <w:bCs/>
                <w:sz w:val="18"/>
                <w:szCs w:val="18"/>
                <w:highlight w:val="none"/>
              </w:rPr>
              <w:t>、坤晟控股有限公司提供连带责任保证担保；谢建挺、潘雪平、李品辉提供连带责任保证担保。</w:t>
            </w:r>
          </w:p>
        </w:tc>
        <w:tc>
          <w:tcPr>
            <w:tcW w:w="978" w:type="pct"/>
            <w:vAlign w:val="center"/>
          </w:tcPr>
          <w:p w14:paraId="1BC9694E">
            <w:pPr>
              <w:spacing w:before="20" w:after="20" w:line="280" w:lineRule="auto"/>
              <w:jc w:val="left"/>
              <w:rPr>
                <w:rFonts w:hint="eastAsia" w:ascii="方正仿宋简体" w:hAnsi="方正仿宋简体" w:eastAsia="方正仿宋简体" w:cs="方正仿宋简体"/>
                <w:bCs/>
                <w:sz w:val="18"/>
                <w:szCs w:val="18"/>
                <w:highlight w:val="none"/>
              </w:rPr>
            </w:pPr>
            <w:r>
              <w:rPr>
                <w:rFonts w:hint="eastAsia" w:eastAsia="仿宋_GB2312"/>
                <w:bCs/>
                <w:sz w:val="18"/>
                <w:szCs w:val="18"/>
                <w:highlight w:val="none"/>
              </w:rPr>
              <w:t>《延期还款协议》（合同编号：</w:t>
            </w:r>
            <w:r>
              <w:rPr>
                <w:rFonts w:eastAsia="仿宋_GB2312"/>
                <w:bCs/>
                <w:sz w:val="18"/>
                <w:szCs w:val="18"/>
                <w:highlight w:val="none"/>
              </w:rPr>
              <w:t>COAMC</w:t>
            </w:r>
            <w:r>
              <w:rPr>
                <w:rFonts w:hint="eastAsia" w:eastAsia="仿宋_GB2312"/>
                <w:bCs/>
                <w:sz w:val="18"/>
                <w:szCs w:val="18"/>
                <w:highlight w:val="none"/>
              </w:rPr>
              <w:t>川-2023-A-20-001）</w:t>
            </w:r>
            <w:r>
              <w:rPr>
                <w:rFonts w:hint="eastAsia" w:eastAsia="仿宋_GB2312"/>
                <w:bCs/>
                <w:sz w:val="18"/>
                <w:szCs w:val="18"/>
                <w:highlight w:val="none"/>
                <w:lang w:eastAsia="zh-CN"/>
              </w:rPr>
              <w:t>约定本金最后还款支付日为</w:t>
            </w:r>
            <w:r>
              <w:rPr>
                <w:rFonts w:hint="eastAsia" w:eastAsia="仿宋_GB2312"/>
                <w:bCs/>
                <w:sz w:val="18"/>
                <w:szCs w:val="18"/>
                <w:highlight w:val="none"/>
              </w:rPr>
              <w:t>2026年11月14日</w:t>
            </w:r>
            <w:r>
              <w:rPr>
                <w:rFonts w:hint="eastAsia" w:eastAsia="仿宋_GB2312"/>
                <w:bCs/>
                <w:sz w:val="18"/>
                <w:szCs w:val="18"/>
                <w:highlight w:val="none"/>
                <w:lang w:eastAsia="zh-CN"/>
              </w:rPr>
              <w:t>；</w:t>
            </w:r>
            <w:r>
              <w:rPr>
                <w:rFonts w:hint="eastAsia" w:eastAsia="仿宋_GB2312"/>
                <w:bCs/>
                <w:sz w:val="18"/>
                <w:szCs w:val="18"/>
                <w:highlight w:val="none"/>
              </w:rPr>
              <w:t>债务人实际欠付利息</w:t>
            </w:r>
            <w:r>
              <w:rPr>
                <w:rFonts w:hint="eastAsia" w:eastAsia="仿宋_GB2312"/>
                <w:bCs/>
                <w:sz w:val="18"/>
                <w:szCs w:val="18"/>
                <w:highlight w:val="none"/>
                <w:lang w:eastAsia="zh-CN"/>
              </w:rPr>
              <w:t>等</w:t>
            </w:r>
            <w:r>
              <w:rPr>
                <w:rFonts w:eastAsia="仿宋_GB2312"/>
                <w:bCs/>
                <w:sz w:val="18"/>
                <w:szCs w:val="18"/>
                <w:highlight w:val="none"/>
              </w:rPr>
              <w:t>以</w:t>
            </w:r>
            <w:r>
              <w:rPr>
                <w:rFonts w:hint="eastAsia" w:eastAsia="仿宋_GB2312"/>
                <w:bCs/>
                <w:sz w:val="18"/>
                <w:szCs w:val="18"/>
                <w:highlight w:val="none"/>
              </w:rPr>
              <w:t>协议</w:t>
            </w:r>
            <w:r>
              <w:rPr>
                <w:rFonts w:eastAsia="仿宋_GB2312"/>
                <w:bCs/>
                <w:sz w:val="18"/>
                <w:szCs w:val="18"/>
                <w:highlight w:val="none"/>
              </w:rPr>
              <w:t>约定</w:t>
            </w:r>
            <w:r>
              <w:rPr>
                <w:rFonts w:hint="eastAsia" w:eastAsia="仿宋_GB2312"/>
                <w:bCs/>
                <w:sz w:val="18"/>
                <w:szCs w:val="18"/>
                <w:highlight w:val="none"/>
              </w:rPr>
              <w:t>计算为准。</w:t>
            </w:r>
          </w:p>
        </w:tc>
      </w:tr>
      <w:tr w14:paraId="634A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cantSplit/>
          <w:jc w:val="center"/>
        </w:trPr>
        <w:tc>
          <w:tcPr>
            <w:tcW w:w="178" w:type="pct"/>
            <w:vAlign w:val="center"/>
          </w:tcPr>
          <w:p w14:paraId="700E5AF1">
            <w:pPr>
              <w:spacing w:before="20" w:after="20" w:line="280" w:lineRule="auto"/>
              <w:jc w:val="center"/>
              <w:rPr>
                <w:rFonts w:eastAsia="仿宋_GB2312"/>
                <w:sz w:val="32"/>
                <w:szCs w:val="32"/>
                <w:highlight w:val="none"/>
              </w:rPr>
            </w:pPr>
            <w:r>
              <w:rPr>
                <w:rFonts w:hint="eastAsia" w:eastAsia="仿宋_GB2312"/>
                <w:sz w:val="18"/>
                <w:szCs w:val="18"/>
                <w:highlight w:val="none"/>
              </w:rPr>
              <w:t>2</w:t>
            </w:r>
          </w:p>
        </w:tc>
        <w:tc>
          <w:tcPr>
            <w:tcW w:w="592" w:type="pct"/>
            <w:vAlign w:val="center"/>
          </w:tcPr>
          <w:p w14:paraId="71C3CA6E">
            <w:pPr>
              <w:spacing w:before="20" w:after="20" w:line="280" w:lineRule="auto"/>
              <w:jc w:val="left"/>
              <w:rPr>
                <w:rFonts w:eastAsia="仿宋_GB2312"/>
                <w:sz w:val="18"/>
                <w:szCs w:val="18"/>
                <w:highlight w:val="none"/>
              </w:rPr>
            </w:pPr>
            <w:r>
              <w:rPr>
                <w:rFonts w:hint="eastAsia" w:eastAsia="仿宋_GB2312"/>
                <w:bCs/>
                <w:sz w:val="18"/>
                <w:szCs w:val="18"/>
                <w:highlight w:val="none"/>
              </w:rPr>
              <w:t>成都百信生态农业发展有限责任公司</w:t>
            </w:r>
          </w:p>
        </w:tc>
        <w:tc>
          <w:tcPr>
            <w:tcW w:w="259" w:type="pct"/>
            <w:vAlign w:val="center"/>
          </w:tcPr>
          <w:p w14:paraId="7F39D9F7">
            <w:pPr>
              <w:spacing w:before="20" w:after="20" w:line="280" w:lineRule="auto"/>
              <w:jc w:val="center"/>
              <w:rPr>
                <w:rFonts w:eastAsia="仿宋_GB2312"/>
                <w:sz w:val="18"/>
                <w:szCs w:val="18"/>
                <w:highlight w:val="none"/>
              </w:rPr>
            </w:pPr>
            <w:r>
              <w:rPr>
                <w:rFonts w:hint="eastAsia" w:eastAsia="仿宋_GB2312"/>
                <w:sz w:val="18"/>
                <w:szCs w:val="18"/>
                <w:highlight w:val="none"/>
              </w:rPr>
              <w:t>人民币</w:t>
            </w:r>
          </w:p>
        </w:tc>
        <w:tc>
          <w:tcPr>
            <w:tcW w:w="417" w:type="pct"/>
            <w:vAlign w:val="center"/>
          </w:tcPr>
          <w:p w14:paraId="696BCA3F">
            <w:pPr>
              <w:spacing w:before="20" w:after="20" w:line="280" w:lineRule="auto"/>
              <w:jc w:val="center"/>
              <w:rPr>
                <w:rFonts w:eastAsia="仿宋_GB2312"/>
                <w:sz w:val="18"/>
                <w:szCs w:val="18"/>
                <w:highlight w:val="none"/>
              </w:rPr>
            </w:pPr>
            <w:r>
              <w:rPr>
                <w:rFonts w:hint="eastAsia" w:eastAsia="仿宋_GB2312"/>
                <w:sz w:val="18"/>
                <w:szCs w:val="18"/>
                <w:highlight w:val="none"/>
              </w:rPr>
              <w:t>5,999.80</w:t>
            </w:r>
          </w:p>
        </w:tc>
        <w:tc>
          <w:tcPr>
            <w:tcW w:w="464" w:type="pct"/>
            <w:vAlign w:val="center"/>
          </w:tcPr>
          <w:p w14:paraId="673AB3EB">
            <w:pPr>
              <w:spacing w:before="20" w:after="20" w:line="280" w:lineRule="auto"/>
              <w:jc w:val="center"/>
              <w:rPr>
                <w:rFonts w:eastAsia="仿宋_GB2312"/>
                <w:sz w:val="18"/>
                <w:szCs w:val="18"/>
                <w:highlight w:val="none"/>
              </w:rPr>
            </w:pPr>
            <w:r>
              <w:rPr>
                <w:rFonts w:hint="eastAsia" w:eastAsia="仿宋_GB2312"/>
                <w:sz w:val="18"/>
                <w:szCs w:val="18"/>
                <w:highlight w:val="none"/>
              </w:rPr>
              <w:t>3,326.39</w:t>
            </w:r>
          </w:p>
        </w:tc>
        <w:tc>
          <w:tcPr>
            <w:tcW w:w="276" w:type="pct"/>
            <w:vAlign w:val="center"/>
          </w:tcPr>
          <w:p w14:paraId="521520D3">
            <w:pPr>
              <w:spacing w:before="20" w:after="20" w:line="280" w:lineRule="auto"/>
              <w:jc w:val="center"/>
              <w:rPr>
                <w:rFonts w:eastAsia="仿宋_GB2312"/>
                <w:sz w:val="32"/>
                <w:szCs w:val="32"/>
                <w:highlight w:val="none"/>
              </w:rPr>
            </w:pPr>
            <w:r>
              <w:rPr>
                <w:rFonts w:hint="eastAsia" w:eastAsia="仿宋_GB2312"/>
                <w:sz w:val="18"/>
                <w:szCs w:val="18"/>
                <w:highlight w:val="none"/>
              </w:rPr>
              <w:t>0</w:t>
            </w:r>
          </w:p>
        </w:tc>
        <w:tc>
          <w:tcPr>
            <w:tcW w:w="1833" w:type="pct"/>
            <w:vAlign w:val="center"/>
          </w:tcPr>
          <w:p w14:paraId="0F99326B">
            <w:pPr>
              <w:spacing w:before="20" w:after="20" w:line="280" w:lineRule="auto"/>
              <w:jc w:val="left"/>
              <w:rPr>
                <w:rFonts w:eastAsia="仿宋_GB2312"/>
                <w:sz w:val="18"/>
                <w:szCs w:val="18"/>
                <w:highlight w:val="none"/>
              </w:rPr>
            </w:pPr>
            <w:r>
              <w:rPr>
                <w:rFonts w:hint="eastAsia" w:eastAsia="仿宋_GB2312"/>
                <w:bCs/>
                <w:sz w:val="18"/>
                <w:szCs w:val="18"/>
                <w:highlight w:val="none"/>
              </w:rPr>
              <w:t>成都百信生态农业发展有限责任公司</w:t>
            </w:r>
            <w:r>
              <w:rPr>
                <w:rFonts w:hint="eastAsia" w:eastAsia="仿宋_GB2312"/>
                <w:bCs/>
                <w:sz w:val="18"/>
                <w:szCs w:val="18"/>
                <w:highlight w:val="none"/>
                <w:lang w:eastAsia="zh-CN"/>
              </w:rPr>
              <w:t>以其</w:t>
            </w:r>
            <w:r>
              <w:rPr>
                <w:rFonts w:hint="eastAsia" w:eastAsia="仿宋_GB2312"/>
                <w:bCs/>
                <w:sz w:val="18"/>
                <w:szCs w:val="18"/>
                <w:highlight w:val="none"/>
              </w:rPr>
              <w:t>名下机器设备提供最高额抵押担保；成都龙特名生态农业有限公司</w:t>
            </w:r>
            <w:r>
              <w:rPr>
                <w:rFonts w:hint="eastAsia" w:eastAsia="仿宋_GB2312"/>
                <w:bCs/>
                <w:sz w:val="18"/>
                <w:szCs w:val="18"/>
                <w:highlight w:val="none"/>
                <w:lang w:eastAsia="zh-CN"/>
              </w:rPr>
              <w:t>、</w:t>
            </w:r>
            <w:r>
              <w:rPr>
                <w:rFonts w:hint="eastAsia" w:eastAsia="仿宋_GB2312"/>
                <w:bCs/>
                <w:sz w:val="18"/>
                <w:szCs w:val="18"/>
                <w:highlight w:val="none"/>
              </w:rPr>
              <w:t>杨洪勇提供</w:t>
            </w:r>
            <w:r>
              <w:rPr>
                <w:rFonts w:hint="eastAsia" w:eastAsia="仿宋_GB2312"/>
                <w:bCs/>
                <w:sz w:val="18"/>
                <w:szCs w:val="18"/>
                <w:highlight w:val="none"/>
                <w:lang w:eastAsia="zh-CN"/>
              </w:rPr>
              <w:t>最高额</w:t>
            </w:r>
            <w:r>
              <w:rPr>
                <w:rFonts w:hint="eastAsia" w:eastAsia="仿宋_GB2312"/>
                <w:bCs/>
                <w:sz w:val="18"/>
                <w:szCs w:val="18"/>
                <w:highlight w:val="none"/>
              </w:rPr>
              <w:t>连带责任保证担保。</w:t>
            </w:r>
          </w:p>
        </w:tc>
        <w:tc>
          <w:tcPr>
            <w:tcW w:w="978" w:type="pct"/>
            <w:vAlign w:val="center"/>
          </w:tcPr>
          <w:p w14:paraId="032FFEB4">
            <w:pPr>
              <w:spacing w:before="20" w:after="20" w:line="280" w:lineRule="auto"/>
              <w:jc w:val="left"/>
              <w:rPr>
                <w:rFonts w:hint="eastAsia" w:ascii="方正仿宋简体" w:hAnsi="方正仿宋简体" w:eastAsia="方正仿宋简体" w:cs="方正仿宋简体"/>
                <w:bCs/>
                <w:sz w:val="18"/>
                <w:szCs w:val="18"/>
                <w:highlight w:val="none"/>
              </w:rPr>
            </w:pPr>
            <w:r>
              <w:rPr>
                <w:rFonts w:hint="eastAsia" w:eastAsia="仿宋_GB2312"/>
                <w:bCs/>
                <w:sz w:val="18"/>
                <w:szCs w:val="18"/>
                <w:highlight w:val="none"/>
              </w:rPr>
              <w:t>已</w:t>
            </w:r>
            <w:r>
              <w:rPr>
                <w:rFonts w:hint="eastAsia" w:eastAsia="仿宋_GB2312"/>
                <w:bCs/>
                <w:sz w:val="18"/>
                <w:szCs w:val="18"/>
                <w:highlight w:val="none"/>
                <w:lang w:eastAsia="zh-CN"/>
              </w:rPr>
              <w:t>逾期，请投资者自行调查并判断可回收性</w:t>
            </w:r>
            <w:r>
              <w:rPr>
                <w:rFonts w:hint="eastAsia" w:eastAsia="仿宋_GB2312"/>
                <w:bCs/>
                <w:sz w:val="18"/>
                <w:szCs w:val="18"/>
                <w:highlight w:val="none"/>
              </w:rPr>
              <w:t>；</w:t>
            </w:r>
            <w:r>
              <w:rPr>
                <w:rFonts w:eastAsia="仿宋_GB2312"/>
                <w:bCs/>
                <w:sz w:val="18"/>
                <w:szCs w:val="18"/>
                <w:highlight w:val="none"/>
              </w:rPr>
              <w:t>债务人实际欠付利息</w:t>
            </w:r>
            <w:r>
              <w:rPr>
                <w:rFonts w:hint="eastAsia" w:eastAsia="仿宋_GB2312"/>
                <w:bCs/>
                <w:sz w:val="18"/>
                <w:szCs w:val="18"/>
                <w:highlight w:val="none"/>
                <w:lang w:eastAsia="zh-CN"/>
              </w:rPr>
              <w:t>等</w:t>
            </w:r>
            <w:r>
              <w:rPr>
                <w:rFonts w:eastAsia="仿宋_GB2312"/>
                <w:bCs/>
                <w:sz w:val="18"/>
                <w:szCs w:val="18"/>
                <w:highlight w:val="none"/>
              </w:rPr>
              <w:t>以借款合同约定</w:t>
            </w:r>
            <w:r>
              <w:rPr>
                <w:rFonts w:hint="eastAsia" w:eastAsia="仿宋_GB2312"/>
                <w:bCs/>
                <w:sz w:val="18"/>
                <w:szCs w:val="18"/>
                <w:highlight w:val="none"/>
              </w:rPr>
              <w:t>计算</w:t>
            </w:r>
            <w:r>
              <w:rPr>
                <w:rFonts w:eastAsia="仿宋_GB2312"/>
                <w:bCs/>
                <w:sz w:val="18"/>
                <w:szCs w:val="18"/>
                <w:highlight w:val="none"/>
              </w:rPr>
              <w:t>为准</w:t>
            </w:r>
            <w:r>
              <w:rPr>
                <w:rFonts w:hint="eastAsia" w:eastAsia="仿宋_GB2312"/>
                <w:bCs/>
                <w:sz w:val="18"/>
                <w:szCs w:val="18"/>
                <w:highlight w:val="none"/>
              </w:rPr>
              <w:t>。</w:t>
            </w:r>
          </w:p>
        </w:tc>
      </w:tr>
      <w:tr w14:paraId="4EC3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cantSplit/>
          <w:jc w:val="center"/>
        </w:trPr>
        <w:tc>
          <w:tcPr>
            <w:tcW w:w="178" w:type="pct"/>
            <w:vAlign w:val="center"/>
          </w:tcPr>
          <w:p w14:paraId="4C4B8C38">
            <w:pPr>
              <w:spacing w:before="20" w:after="20" w:line="280" w:lineRule="auto"/>
              <w:jc w:val="center"/>
              <w:rPr>
                <w:rFonts w:eastAsia="仿宋_GB2312"/>
                <w:sz w:val="32"/>
                <w:szCs w:val="32"/>
                <w:highlight w:val="none"/>
              </w:rPr>
            </w:pPr>
            <w:r>
              <w:rPr>
                <w:rFonts w:hint="eastAsia" w:eastAsia="仿宋_GB2312"/>
                <w:sz w:val="18"/>
                <w:szCs w:val="18"/>
                <w:highlight w:val="none"/>
              </w:rPr>
              <w:t>3</w:t>
            </w:r>
          </w:p>
        </w:tc>
        <w:tc>
          <w:tcPr>
            <w:tcW w:w="592" w:type="pct"/>
            <w:vAlign w:val="center"/>
          </w:tcPr>
          <w:p w14:paraId="094F2C3F">
            <w:pPr>
              <w:spacing w:before="20" w:after="20" w:line="280" w:lineRule="auto"/>
              <w:jc w:val="left"/>
              <w:rPr>
                <w:rFonts w:eastAsia="仿宋_GB2312"/>
                <w:sz w:val="18"/>
                <w:szCs w:val="18"/>
                <w:highlight w:val="none"/>
              </w:rPr>
            </w:pPr>
            <w:r>
              <w:rPr>
                <w:rFonts w:hint="eastAsia" w:eastAsia="仿宋_GB2312"/>
                <w:bCs/>
                <w:sz w:val="18"/>
                <w:szCs w:val="18"/>
                <w:highlight w:val="none"/>
              </w:rPr>
              <w:t>彭州市裕华食品厂</w:t>
            </w:r>
          </w:p>
        </w:tc>
        <w:tc>
          <w:tcPr>
            <w:tcW w:w="259" w:type="pct"/>
            <w:vAlign w:val="center"/>
          </w:tcPr>
          <w:p w14:paraId="3D610F94">
            <w:pPr>
              <w:spacing w:before="20" w:after="20" w:line="280" w:lineRule="auto"/>
              <w:jc w:val="center"/>
              <w:rPr>
                <w:rFonts w:eastAsia="仿宋_GB2312"/>
                <w:sz w:val="18"/>
                <w:szCs w:val="18"/>
                <w:highlight w:val="none"/>
              </w:rPr>
            </w:pPr>
            <w:r>
              <w:rPr>
                <w:rFonts w:hint="eastAsia" w:eastAsia="仿宋_GB2312"/>
                <w:sz w:val="18"/>
                <w:szCs w:val="18"/>
                <w:highlight w:val="none"/>
              </w:rPr>
              <w:t>人民币</w:t>
            </w:r>
          </w:p>
        </w:tc>
        <w:tc>
          <w:tcPr>
            <w:tcW w:w="417" w:type="pct"/>
            <w:vAlign w:val="center"/>
          </w:tcPr>
          <w:p w14:paraId="4F9F7E6D">
            <w:pPr>
              <w:spacing w:before="20" w:after="20" w:line="280" w:lineRule="auto"/>
              <w:jc w:val="center"/>
              <w:rPr>
                <w:rFonts w:eastAsia="仿宋_GB2312"/>
                <w:sz w:val="18"/>
                <w:szCs w:val="18"/>
                <w:highlight w:val="none"/>
              </w:rPr>
            </w:pPr>
            <w:r>
              <w:rPr>
                <w:rFonts w:hint="eastAsia" w:eastAsia="仿宋_GB2312"/>
                <w:sz w:val="18"/>
                <w:szCs w:val="18"/>
                <w:highlight w:val="none"/>
              </w:rPr>
              <w:t>700.00</w:t>
            </w:r>
          </w:p>
        </w:tc>
        <w:tc>
          <w:tcPr>
            <w:tcW w:w="464" w:type="pct"/>
            <w:vAlign w:val="center"/>
          </w:tcPr>
          <w:p w14:paraId="34C1F763">
            <w:pPr>
              <w:spacing w:before="20" w:after="20" w:line="280" w:lineRule="auto"/>
              <w:jc w:val="center"/>
              <w:rPr>
                <w:rFonts w:eastAsia="仿宋_GB2312"/>
                <w:sz w:val="18"/>
                <w:szCs w:val="18"/>
                <w:highlight w:val="none"/>
              </w:rPr>
            </w:pPr>
            <w:r>
              <w:rPr>
                <w:rFonts w:hint="eastAsia" w:eastAsia="仿宋_GB2312"/>
                <w:sz w:val="18"/>
                <w:szCs w:val="18"/>
                <w:highlight w:val="none"/>
              </w:rPr>
              <w:t>466.53</w:t>
            </w:r>
          </w:p>
        </w:tc>
        <w:tc>
          <w:tcPr>
            <w:tcW w:w="276" w:type="pct"/>
            <w:vAlign w:val="center"/>
          </w:tcPr>
          <w:p w14:paraId="103C5800">
            <w:pPr>
              <w:spacing w:before="20" w:after="20" w:line="280" w:lineRule="auto"/>
              <w:jc w:val="center"/>
              <w:rPr>
                <w:rFonts w:eastAsia="仿宋_GB2312"/>
                <w:sz w:val="32"/>
                <w:szCs w:val="32"/>
                <w:highlight w:val="none"/>
              </w:rPr>
            </w:pPr>
            <w:r>
              <w:rPr>
                <w:rFonts w:hint="eastAsia" w:eastAsia="仿宋_GB2312"/>
                <w:sz w:val="18"/>
                <w:szCs w:val="18"/>
                <w:highlight w:val="none"/>
              </w:rPr>
              <w:t>0</w:t>
            </w:r>
          </w:p>
        </w:tc>
        <w:tc>
          <w:tcPr>
            <w:tcW w:w="1833" w:type="pct"/>
            <w:vAlign w:val="center"/>
          </w:tcPr>
          <w:p w14:paraId="7608B2F7">
            <w:pPr>
              <w:spacing w:before="20" w:after="20" w:line="280" w:lineRule="auto"/>
              <w:jc w:val="left"/>
              <w:rPr>
                <w:rFonts w:eastAsia="仿宋_GB2312"/>
                <w:sz w:val="18"/>
                <w:szCs w:val="18"/>
                <w:highlight w:val="none"/>
              </w:rPr>
            </w:pPr>
            <w:r>
              <w:rPr>
                <w:rFonts w:hint="eastAsia" w:eastAsia="仿宋_GB2312"/>
                <w:bCs/>
                <w:sz w:val="18"/>
                <w:szCs w:val="18"/>
                <w:highlight w:val="none"/>
              </w:rPr>
              <w:t>成都龙特名生态农业有限公司、杨洪勇提供最高额连带责任保证担保。</w:t>
            </w:r>
          </w:p>
        </w:tc>
        <w:tc>
          <w:tcPr>
            <w:tcW w:w="978" w:type="pct"/>
            <w:vAlign w:val="center"/>
          </w:tcPr>
          <w:p w14:paraId="46C6AC0F">
            <w:pPr>
              <w:spacing w:before="20" w:after="20" w:line="280" w:lineRule="auto"/>
              <w:jc w:val="left"/>
              <w:rPr>
                <w:rFonts w:hint="eastAsia" w:ascii="方正仿宋简体" w:hAnsi="方正仿宋简体" w:eastAsia="方正仿宋简体" w:cs="方正仿宋简体"/>
                <w:bCs/>
                <w:sz w:val="18"/>
                <w:szCs w:val="18"/>
                <w:highlight w:val="none"/>
              </w:rPr>
            </w:pPr>
            <w:r>
              <w:rPr>
                <w:rFonts w:hint="eastAsia" w:eastAsia="仿宋_GB2312"/>
                <w:bCs/>
                <w:sz w:val="18"/>
                <w:szCs w:val="18"/>
                <w:highlight w:val="none"/>
              </w:rPr>
              <w:t>已</w:t>
            </w:r>
            <w:r>
              <w:rPr>
                <w:rFonts w:hint="eastAsia" w:eastAsia="仿宋_GB2312"/>
                <w:bCs/>
                <w:sz w:val="18"/>
                <w:szCs w:val="18"/>
                <w:highlight w:val="none"/>
                <w:lang w:eastAsia="zh-CN"/>
              </w:rPr>
              <w:t>逾期，请投资者自行调查并判断可回收性</w:t>
            </w:r>
            <w:r>
              <w:rPr>
                <w:rFonts w:hint="eastAsia" w:eastAsia="仿宋_GB2312"/>
                <w:bCs/>
                <w:sz w:val="18"/>
                <w:szCs w:val="18"/>
                <w:highlight w:val="none"/>
              </w:rPr>
              <w:t>；</w:t>
            </w:r>
            <w:r>
              <w:rPr>
                <w:rFonts w:eastAsia="仿宋_GB2312"/>
                <w:bCs/>
                <w:sz w:val="18"/>
                <w:szCs w:val="18"/>
                <w:highlight w:val="none"/>
              </w:rPr>
              <w:t>债务人实际欠付利息</w:t>
            </w:r>
            <w:r>
              <w:rPr>
                <w:rFonts w:hint="eastAsia" w:eastAsia="仿宋_GB2312"/>
                <w:bCs/>
                <w:sz w:val="18"/>
                <w:szCs w:val="18"/>
                <w:highlight w:val="none"/>
                <w:lang w:eastAsia="zh-CN"/>
              </w:rPr>
              <w:t>等</w:t>
            </w:r>
            <w:r>
              <w:rPr>
                <w:rFonts w:eastAsia="仿宋_GB2312"/>
                <w:bCs/>
                <w:sz w:val="18"/>
                <w:szCs w:val="18"/>
                <w:highlight w:val="none"/>
              </w:rPr>
              <w:t>以借款合同约定</w:t>
            </w:r>
            <w:r>
              <w:rPr>
                <w:rFonts w:hint="eastAsia" w:eastAsia="仿宋_GB2312"/>
                <w:bCs/>
                <w:sz w:val="18"/>
                <w:szCs w:val="18"/>
                <w:highlight w:val="none"/>
              </w:rPr>
              <w:t>计算</w:t>
            </w:r>
            <w:r>
              <w:rPr>
                <w:rFonts w:eastAsia="仿宋_GB2312"/>
                <w:bCs/>
                <w:sz w:val="18"/>
                <w:szCs w:val="18"/>
                <w:highlight w:val="none"/>
              </w:rPr>
              <w:t>为准</w:t>
            </w:r>
            <w:r>
              <w:rPr>
                <w:rFonts w:hint="eastAsia" w:eastAsia="仿宋_GB2312"/>
                <w:bCs/>
                <w:sz w:val="18"/>
                <w:szCs w:val="18"/>
                <w:highlight w:val="none"/>
              </w:rPr>
              <w:t>。</w:t>
            </w:r>
          </w:p>
        </w:tc>
      </w:tr>
    </w:tbl>
    <w:p w14:paraId="4D9CD0C2">
      <w:pPr>
        <w:spacing w:line="560" w:lineRule="exact"/>
        <w:ind w:firstLine="420" w:firstLineChars="200"/>
        <w:rPr>
          <w:rFonts w:hint="eastAsia" w:eastAsia="仿宋_GB2312"/>
          <w:sz w:val="21"/>
          <w:szCs w:val="21"/>
          <w:highlight w:val="none"/>
          <w:lang w:eastAsia="zh-CN"/>
        </w:rPr>
      </w:pPr>
      <w:r>
        <w:rPr>
          <w:rFonts w:hint="eastAsia" w:eastAsia="仿宋_GB2312"/>
          <w:sz w:val="21"/>
          <w:szCs w:val="21"/>
          <w:highlight w:val="none"/>
          <w:lang w:eastAsia="zh-CN"/>
        </w:rPr>
        <w:t>备注：</w:t>
      </w:r>
    </w:p>
    <w:p w14:paraId="0E2C6371">
      <w:pPr>
        <w:spacing w:line="560" w:lineRule="exact"/>
        <w:ind w:firstLine="420" w:firstLineChars="200"/>
        <w:rPr>
          <w:rFonts w:hint="eastAsia" w:eastAsia="仿宋_GB2312"/>
          <w:sz w:val="21"/>
          <w:szCs w:val="21"/>
          <w:highlight w:val="none"/>
        </w:rPr>
      </w:pPr>
      <w:r>
        <w:rPr>
          <w:rFonts w:hint="eastAsia" w:eastAsia="仿宋_GB2312"/>
          <w:sz w:val="21"/>
          <w:szCs w:val="21"/>
          <w:highlight w:val="none"/>
          <w:lang w:val="en-US" w:eastAsia="zh-CN"/>
        </w:rPr>
        <w:t>1.</w:t>
      </w:r>
      <w:r>
        <w:rPr>
          <w:rFonts w:hint="eastAsia" w:eastAsia="仿宋_GB2312"/>
          <w:sz w:val="21"/>
          <w:szCs w:val="21"/>
          <w:highlight w:val="none"/>
        </w:rPr>
        <w:t>由于可能存在的计算误差、计算方法错误或其他原因，受让方实际接收的债权金额与公告内容及标的资产清单信息可能不完全一致；</w:t>
      </w:r>
    </w:p>
    <w:p w14:paraId="0A0757FC">
      <w:pPr>
        <w:spacing w:line="560" w:lineRule="exact"/>
        <w:ind w:firstLine="420" w:firstLineChars="200"/>
        <w:rPr>
          <w:rFonts w:ascii="方正仿宋简体" w:eastAsia="方正仿宋简体"/>
          <w:sz w:val="30"/>
          <w:szCs w:val="30"/>
          <w:highlight w:val="none"/>
        </w:rPr>
      </w:pPr>
      <w:r>
        <w:rPr>
          <w:rFonts w:hint="eastAsia" w:eastAsia="仿宋_GB2312"/>
          <w:sz w:val="21"/>
          <w:szCs w:val="21"/>
          <w:highlight w:val="none"/>
          <w:lang w:val="en-US" w:eastAsia="zh-CN"/>
        </w:rPr>
        <w:t>2</w:t>
      </w:r>
      <w:r>
        <w:rPr>
          <w:rFonts w:hint="eastAsia" w:eastAsia="仿宋_GB2312"/>
          <w:sz w:val="21"/>
          <w:szCs w:val="21"/>
          <w:highlight w:val="none"/>
        </w:rPr>
        <w:t>.公告内容及标的资产清单信息仅为根据现有资料对已知状况所做的一般性描述，可能因原债权人原因未如实提供债权资料、资料记载错误或标的债权状况不断变动等，致使资产包内债权的实际情况（包括但不限于担保情况、债权实际余额情况等）与标的资产信息不完全一致，请投资者自行调查及独立审慎判断，我分公司对此不作任何保证，不对其承担任何法律责任。</w:t>
      </w:r>
    </w:p>
    <w:sectPr>
      <w:headerReference r:id="rId3" w:type="default"/>
      <w:footerReference r:id="rId4" w:type="even"/>
      <w:pgSz w:w="11906" w:h="16838"/>
      <w:pgMar w:top="1304" w:right="1247" w:bottom="1304" w:left="1304" w:header="851" w:footer="992" w:gutter="0"/>
      <w:pgBorders w:display="firstPage" w:offsetFrom="page">
        <w:top w:val="single" w:color="FFFFFF" w:sz="4" w:space="24"/>
        <w:left w:val="single" w:color="FFFFFF" w:sz="4" w:space="24"/>
        <w:bottom w:val="single" w:color="FFFFFF" w:sz="4" w:space="24"/>
        <w:right w:val="single" w:color="FFFFFF" w:sz="4" w:space="24"/>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7645A">
    <w:pPr>
      <w:pStyle w:val="4"/>
      <w:framePr w:wrap="around" w:vAnchor="text" w:hAnchor="margin" w:xAlign="right" w:y="1"/>
      <w:rPr>
        <w:rStyle w:val="9"/>
      </w:rPr>
    </w:pPr>
    <w:r>
      <w:rPr>
        <w:rStyle w:val="9"/>
      </w:rPr>
      <w:fldChar w:fldCharType="begin"/>
    </w:r>
    <w:r>
      <w:rPr>
        <w:rStyle w:val="9"/>
      </w:rPr>
      <w:instrText xml:space="preserve">PAGE  </w:instrText>
    </w:r>
    <w:r>
      <w:rPr>
        <w:rStyle w:val="9"/>
      </w:rPr>
      <w:fldChar w:fldCharType="end"/>
    </w:r>
  </w:p>
  <w:p w14:paraId="5071AEA8">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A5BA7">
    <w:pPr>
      <w:tabs>
        <w:tab w:val="right" w:pos="9355"/>
      </w:tabs>
      <w:spacing w:line="360" w:lineRule="auto"/>
    </w:pPr>
    <w:r>
      <w:rPr>
        <w:rFonts w:hint="eastAsia"/>
        <w:color w:val="00000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195580</wp:posOffset>
              </wp:positionV>
              <wp:extent cx="5942965" cy="0"/>
              <wp:effectExtent l="0" t="4445" r="0" b="5080"/>
              <wp:wrapNone/>
              <wp:docPr id="1" name="直线 1"/>
              <wp:cNvGraphicFramePr/>
              <a:graphic xmlns:a="http://schemas.openxmlformats.org/drawingml/2006/main">
                <a:graphicData uri="http://schemas.microsoft.com/office/word/2010/wordprocessingShape">
                  <wps:wsp>
                    <wps:cNvCnPr/>
                    <wps:spPr>
                      <a:xfrm>
                        <a:off x="0" y="0"/>
                        <a:ext cx="594296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0pt;margin-top:15.4pt;height:0pt;width:467.95pt;z-index:251659264;mso-width-relative:page;mso-height-relative:page;" filled="f" stroked="t" coordsize="21600,21600" o:gfxdata="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Vqma9QAAAAGAQAADwAAAAAA&#10;AAABACAAAAAiAAAAZHJzL2Rvd25yZXYueG1sUEsBAhQAFAAAAAgAh07iQEWMk6/eAQAAzwMAAA4A&#10;AAAAAAAAAQAgAAAAIwEAAGRycy9lMm9Eb2MueG1sUEsFBgAAAAAGAAYAWQEAAHMFAAAAAA==&#10;">
              <v:fill on="f" focussize="0,0"/>
              <v:stroke color="#000000" joinstyle="round"/>
              <v:imagedata o:title=""/>
              <o:lock v:ext="edit" aspectratio="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868"/>
    <w:rsid w:val="00000232"/>
    <w:rsid w:val="000231DF"/>
    <w:rsid w:val="000727BD"/>
    <w:rsid w:val="0009199B"/>
    <w:rsid w:val="000A2D61"/>
    <w:rsid w:val="000D2446"/>
    <w:rsid w:val="00113F9E"/>
    <w:rsid w:val="00114199"/>
    <w:rsid w:val="00124020"/>
    <w:rsid w:val="001275D5"/>
    <w:rsid w:val="001405B7"/>
    <w:rsid w:val="00143AEF"/>
    <w:rsid w:val="00155EC8"/>
    <w:rsid w:val="0016090A"/>
    <w:rsid w:val="00163789"/>
    <w:rsid w:val="001836DE"/>
    <w:rsid w:val="00195408"/>
    <w:rsid w:val="001C0786"/>
    <w:rsid w:val="001C53FB"/>
    <w:rsid w:val="001D0868"/>
    <w:rsid w:val="001E1BE4"/>
    <w:rsid w:val="002524F5"/>
    <w:rsid w:val="002647CF"/>
    <w:rsid w:val="00266B65"/>
    <w:rsid w:val="0027792D"/>
    <w:rsid w:val="002A7EB1"/>
    <w:rsid w:val="002C08DB"/>
    <w:rsid w:val="002C42CF"/>
    <w:rsid w:val="002C608C"/>
    <w:rsid w:val="002E1A96"/>
    <w:rsid w:val="002E4D3D"/>
    <w:rsid w:val="003120C5"/>
    <w:rsid w:val="003726FF"/>
    <w:rsid w:val="0038227F"/>
    <w:rsid w:val="003A38D2"/>
    <w:rsid w:val="003A4906"/>
    <w:rsid w:val="003C2B82"/>
    <w:rsid w:val="003D0A0E"/>
    <w:rsid w:val="004255F9"/>
    <w:rsid w:val="004300EE"/>
    <w:rsid w:val="00445462"/>
    <w:rsid w:val="00451BDB"/>
    <w:rsid w:val="00452DDF"/>
    <w:rsid w:val="00461B95"/>
    <w:rsid w:val="00464EB7"/>
    <w:rsid w:val="004B18A6"/>
    <w:rsid w:val="004E643B"/>
    <w:rsid w:val="005014D5"/>
    <w:rsid w:val="00566402"/>
    <w:rsid w:val="00566470"/>
    <w:rsid w:val="0056723D"/>
    <w:rsid w:val="00581647"/>
    <w:rsid w:val="005C1C15"/>
    <w:rsid w:val="005D44BB"/>
    <w:rsid w:val="005E1706"/>
    <w:rsid w:val="005E2CE5"/>
    <w:rsid w:val="00606066"/>
    <w:rsid w:val="0062662C"/>
    <w:rsid w:val="00657572"/>
    <w:rsid w:val="006B4CB8"/>
    <w:rsid w:val="006D67FC"/>
    <w:rsid w:val="006E4F5C"/>
    <w:rsid w:val="006F2959"/>
    <w:rsid w:val="00720433"/>
    <w:rsid w:val="007220FD"/>
    <w:rsid w:val="0073288D"/>
    <w:rsid w:val="007723F1"/>
    <w:rsid w:val="007C325D"/>
    <w:rsid w:val="007C6D1E"/>
    <w:rsid w:val="007D30A8"/>
    <w:rsid w:val="00800316"/>
    <w:rsid w:val="008637B3"/>
    <w:rsid w:val="00870A5B"/>
    <w:rsid w:val="00884455"/>
    <w:rsid w:val="00897D65"/>
    <w:rsid w:val="008B749F"/>
    <w:rsid w:val="008F26C4"/>
    <w:rsid w:val="009137CC"/>
    <w:rsid w:val="009B2578"/>
    <w:rsid w:val="009F7258"/>
    <w:rsid w:val="00A116B9"/>
    <w:rsid w:val="00A31FFA"/>
    <w:rsid w:val="00A73FFE"/>
    <w:rsid w:val="00A85DA7"/>
    <w:rsid w:val="00A9088A"/>
    <w:rsid w:val="00AB40DA"/>
    <w:rsid w:val="00AC7249"/>
    <w:rsid w:val="00AD5A09"/>
    <w:rsid w:val="00AF7F83"/>
    <w:rsid w:val="00B170E4"/>
    <w:rsid w:val="00B25DCE"/>
    <w:rsid w:val="00B301CE"/>
    <w:rsid w:val="00B80CB1"/>
    <w:rsid w:val="00B835C6"/>
    <w:rsid w:val="00BD3BF7"/>
    <w:rsid w:val="00C106AE"/>
    <w:rsid w:val="00C26200"/>
    <w:rsid w:val="00C971A4"/>
    <w:rsid w:val="00CA454E"/>
    <w:rsid w:val="00CD218D"/>
    <w:rsid w:val="00CD61F1"/>
    <w:rsid w:val="00CF3699"/>
    <w:rsid w:val="00D049C0"/>
    <w:rsid w:val="00D139BC"/>
    <w:rsid w:val="00D373DB"/>
    <w:rsid w:val="00D46543"/>
    <w:rsid w:val="00D5629A"/>
    <w:rsid w:val="00D96D1F"/>
    <w:rsid w:val="00DA346C"/>
    <w:rsid w:val="00DB01A7"/>
    <w:rsid w:val="00DB0D8F"/>
    <w:rsid w:val="00DB243A"/>
    <w:rsid w:val="00DD1B04"/>
    <w:rsid w:val="00DE526F"/>
    <w:rsid w:val="00DE6039"/>
    <w:rsid w:val="00E157E4"/>
    <w:rsid w:val="00E30031"/>
    <w:rsid w:val="00E34AEB"/>
    <w:rsid w:val="00E42436"/>
    <w:rsid w:val="00E437EC"/>
    <w:rsid w:val="00E628F6"/>
    <w:rsid w:val="00E64E1E"/>
    <w:rsid w:val="00E762C5"/>
    <w:rsid w:val="00E76A99"/>
    <w:rsid w:val="00E91F68"/>
    <w:rsid w:val="00F01D8C"/>
    <w:rsid w:val="00F13089"/>
    <w:rsid w:val="00FA40E7"/>
    <w:rsid w:val="00FB008D"/>
    <w:rsid w:val="00FB6D1E"/>
    <w:rsid w:val="00FB7409"/>
    <w:rsid w:val="00FE527B"/>
    <w:rsid w:val="01B77084"/>
    <w:rsid w:val="03B34FA0"/>
    <w:rsid w:val="04277D37"/>
    <w:rsid w:val="045D79B7"/>
    <w:rsid w:val="04797926"/>
    <w:rsid w:val="05184867"/>
    <w:rsid w:val="05D1531A"/>
    <w:rsid w:val="0620509A"/>
    <w:rsid w:val="095A48E7"/>
    <w:rsid w:val="0A3363AE"/>
    <w:rsid w:val="0A4535DA"/>
    <w:rsid w:val="0D0D6EF6"/>
    <w:rsid w:val="0DE10596"/>
    <w:rsid w:val="0F7563EB"/>
    <w:rsid w:val="0F856685"/>
    <w:rsid w:val="10445171"/>
    <w:rsid w:val="13D80B9E"/>
    <w:rsid w:val="142B6A9A"/>
    <w:rsid w:val="144F625E"/>
    <w:rsid w:val="14F270EC"/>
    <w:rsid w:val="15363550"/>
    <w:rsid w:val="158717DE"/>
    <w:rsid w:val="17C73392"/>
    <w:rsid w:val="18127F8E"/>
    <w:rsid w:val="184C3483"/>
    <w:rsid w:val="18CC35F0"/>
    <w:rsid w:val="1A023DF9"/>
    <w:rsid w:val="1A1643E7"/>
    <w:rsid w:val="1A5439C0"/>
    <w:rsid w:val="1C744CBF"/>
    <w:rsid w:val="1E15334A"/>
    <w:rsid w:val="1E3958A5"/>
    <w:rsid w:val="1E7B061E"/>
    <w:rsid w:val="1FFBB6D0"/>
    <w:rsid w:val="209A6308"/>
    <w:rsid w:val="20E300D9"/>
    <w:rsid w:val="22B927C4"/>
    <w:rsid w:val="23DE3EE7"/>
    <w:rsid w:val="259501CB"/>
    <w:rsid w:val="25E52FB7"/>
    <w:rsid w:val="263C39C6"/>
    <w:rsid w:val="272EA307"/>
    <w:rsid w:val="273F35F4"/>
    <w:rsid w:val="276521AF"/>
    <w:rsid w:val="27AD03A5"/>
    <w:rsid w:val="2831044E"/>
    <w:rsid w:val="28657114"/>
    <w:rsid w:val="2BA9457F"/>
    <w:rsid w:val="2CBD2151"/>
    <w:rsid w:val="2E91366A"/>
    <w:rsid w:val="2FEB727A"/>
    <w:rsid w:val="32332FDC"/>
    <w:rsid w:val="329D6F19"/>
    <w:rsid w:val="351608A7"/>
    <w:rsid w:val="36127845"/>
    <w:rsid w:val="36AC41C0"/>
    <w:rsid w:val="38813DBE"/>
    <w:rsid w:val="3A625555"/>
    <w:rsid w:val="3B269402"/>
    <w:rsid w:val="3E014747"/>
    <w:rsid w:val="3E26013D"/>
    <w:rsid w:val="3E9726BC"/>
    <w:rsid w:val="3EAB1A1E"/>
    <w:rsid w:val="3ED5B8A0"/>
    <w:rsid w:val="3F6E2720"/>
    <w:rsid w:val="400E6DA6"/>
    <w:rsid w:val="40161C34"/>
    <w:rsid w:val="43E508A5"/>
    <w:rsid w:val="442C5D93"/>
    <w:rsid w:val="455B5B9E"/>
    <w:rsid w:val="457A1A0B"/>
    <w:rsid w:val="45FE5342"/>
    <w:rsid w:val="473D5C48"/>
    <w:rsid w:val="478006A4"/>
    <w:rsid w:val="47DD11F5"/>
    <w:rsid w:val="493C4F74"/>
    <w:rsid w:val="4A9C5575"/>
    <w:rsid w:val="4C272DFE"/>
    <w:rsid w:val="4CD8460F"/>
    <w:rsid w:val="4E59789B"/>
    <w:rsid w:val="4E734DF4"/>
    <w:rsid w:val="4EA33192"/>
    <w:rsid w:val="4EE30090"/>
    <w:rsid w:val="504A3139"/>
    <w:rsid w:val="518335CA"/>
    <w:rsid w:val="52D47D21"/>
    <w:rsid w:val="53896B1D"/>
    <w:rsid w:val="54424E4C"/>
    <w:rsid w:val="5445799A"/>
    <w:rsid w:val="545974F0"/>
    <w:rsid w:val="55961799"/>
    <w:rsid w:val="57F624E8"/>
    <w:rsid w:val="589565E6"/>
    <w:rsid w:val="5A5A29C9"/>
    <w:rsid w:val="5B253396"/>
    <w:rsid w:val="5D1C58DC"/>
    <w:rsid w:val="5DB86BDF"/>
    <w:rsid w:val="5DED1ED3"/>
    <w:rsid w:val="5E3A6227"/>
    <w:rsid w:val="5E936BAB"/>
    <w:rsid w:val="5FBF0E0B"/>
    <w:rsid w:val="5FBF283A"/>
    <w:rsid w:val="5FFF0E75"/>
    <w:rsid w:val="6030505D"/>
    <w:rsid w:val="60A3539C"/>
    <w:rsid w:val="61246BEF"/>
    <w:rsid w:val="61EB53F3"/>
    <w:rsid w:val="62437047"/>
    <w:rsid w:val="62700E0F"/>
    <w:rsid w:val="639A0442"/>
    <w:rsid w:val="63FB96D0"/>
    <w:rsid w:val="65EB5843"/>
    <w:rsid w:val="662655CB"/>
    <w:rsid w:val="674D79C1"/>
    <w:rsid w:val="68D50AC2"/>
    <w:rsid w:val="6B302B67"/>
    <w:rsid w:val="6B3B052C"/>
    <w:rsid w:val="6C6B706C"/>
    <w:rsid w:val="6E190801"/>
    <w:rsid w:val="6E773236"/>
    <w:rsid w:val="6EFA0E9F"/>
    <w:rsid w:val="6EFF2E1C"/>
    <w:rsid w:val="6FEE472F"/>
    <w:rsid w:val="72357E6C"/>
    <w:rsid w:val="73551A1E"/>
    <w:rsid w:val="74206713"/>
    <w:rsid w:val="75AE2AF5"/>
    <w:rsid w:val="75E52B7B"/>
    <w:rsid w:val="77DE306F"/>
    <w:rsid w:val="795F0B15"/>
    <w:rsid w:val="7ABF07F0"/>
    <w:rsid w:val="7AF91B1D"/>
    <w:rsid w:val="7BAE339B"/>
    <w:rsid w:val="7E223400"/>
    <w:rsid w:val="7F216FC3"/>
    <w:rsid w:val="7F795E75"/>
    <w:rsid w:val="9BB75A0F"/>
    <w:rsid w:val="A374DB58"/>
    <w:rsid w:val="B3B547DB"/>
    <w:rsid w:val="BE1F180B"/>
    <w:rsid w:val="CD6BCA98"/>
    <w:rsid w:val="D4761745"/>
    <w:rsid w:val="D766231F"/>
    <w:rsid w:val="DB6B4B29"/>
    <w:rsid w:val="DEBF2A7D"/>
    <w:rsid w:val="EBFF030F"/>
    <w:rsid w:val="F137F066"/>
    <w:rsid w:val="F4D6A49F"/>
    <w:rsid w:val="F63F029A"/>
    <w:rsid w:val="F6F3C48C"/>
    <w:rsid w:val="FBBFDF5A"/>
    <w:rsid w:val="FD7ACEE7"/>
    <w:rsid w:val="FDAB846B"/>
    <w:rsid w:val="FEE4C8D8"/>
    <w:rsid w:val="FEFB3983"/>
    <w:rsid w:val="FF3518CF"/>
    <w:rsid w:val="FF7FCAD2"/>
    <w:rsid w:val="FFD53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removePersonalInformation/>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qFormat/>
    <w:uiPriority w:val="0"/>
    <w:rPr>
      <w:b/>
      <w:bCs/>
    </w:rPr>
  </w:style>
  <w:style w:type="character" w:styleId="9">
    <w:name w:val="page number"/>
    <w:basedOn w:val="8"/>
    <w:qFormat/>
    <w:uiPriority w:val="0"/>
  </w:style>
  <w:style w:type="character" w:styleId="10">
    <w:name w:val="Hyperlink"/>
    <w:qFormat/>
    <w:uiPriority w:val="0"/>
    <w:rPr>
      <w:color w:val="0000FF"/>
      <w:u w:val="single"/>
    </w:rPr>
  </w:style>
  <w:style w:type="character" w:styleId="11">
    <w:name w:val="annotation reference"/>
    <w:basedOn w:val="8"/>
    <w:qFormat/>
    <w:uiPriority w:val="0"/>
    <w:rPr>
      <w:sz w:val="21"/>
      <w:szCs w:val="21"/>
    </w:rPr>
  </w:style>
  <w:style w:type="character" w:customStyle="1" w:styleId="12">
    <w:name w:val="页眉 字符"/>
    <w:link w:val="5"/>
    <w:qFormat/>
    <w:uiPriority w:val="0"/>
    <w:rPr>
      <w:kern w:val="2"/>
      <w:sz w:val="18"/>
      <w:szCs w:val="18"/>
    </w:rPr>
  </w:style>
  <w:style w:type="paragraph" w:customStyle="1" w:styleId="13">
    <w:name w:val="第一层"/>
    <w:basedOn w:val="1"/>
    <w:next w:val="1"/>
    <w:qFormat/>
    <w:uiPriority w:val="0"/>
    <w:pPr>
      <w:adjustRightInd w:val="0"/>
      <w:snapToGrid w:val="0"/>
      <w:spacing w:line="360" w:lineRule="auto"/>
    </w:pPr>
    <w:rPr>
      <w:rFonts w:eastAsia="仿宋_GB2312"/>
      <w:bCs/>
      <w:sz w:val="28"/>
      <w:szCs w:val="28"/>
    </w:rPr>
  </w:style>
  <w:style w:type="paragraph" w:customStyle="1" w:styleId="14">
    <w:name w:val="第二层"/>
    <w:basedOn w:val="1"/>
    <w:next w:val="1"/>
    <w:qFormat/>
    <w:uiPriority w:val="0"/>
    <w:pPr>
      <w:adjustRightInd w:val="0"/>
      <w:snapToGrid w:val="0"/>
      <w:spacing w:line="360" w:lineRule="auto"/>
    </w:pPr>
    <w:rPr>
      <w:rFonts w:eastAsia="仿宋_GB2312"/>
      <w:sz w:val="28"/>
      <w:szCs w:val="28"/>
    </w:rPr>
  </w:style>
  <w:style w:type="character" w:customStyle="1" w:styleId="15">
    <w:name w:val="批注文字 字符"/>
    <w:basedOn w:val="8"/>
    <w:link w:val="2"/>
    <w:qFormat/>
    <w:uiPriority w:val="0"/>
    <w:rPr>
      <w:kern w:val="2"/>
      <w:sz w:val="21"/>
      <w:szCs w:val="24"/>
    </w:rPr>
  </w:style>
  <w:style w:type="character" w:customStyle="1" w:styleId="16">
    <w:name w:val="批注主题 字符"/>
    <w:basedOn w:val="15"/>
    <w:link w:val="6"/>
    <w:qFormat/>
    <w:uiPriority w:val="0"/>
    <w:rPr>
      <w:b/>
      <w:bCs/>
      <w:kern w:val="2"/>
      <w:sz w:val="21"/>
      <w:szCs w:val="24"/>
    </w:rPr>
  </w:style>
  <w:style w:type="paragraph" w:customStyle="1" w:styleId="17">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A3886F-7AD1-4DC1-B99A-83A68046FAB2}">
  <ds:schemaRefs/>
</ds:datastoreItem>
</file>

<file path=docProps/app.xml><?xml version="1.0" encoding="utf-8"?>
<Properties xmlns="http://schemas.openxmlformats.org/officeDocument/2006/extended-properties" xmlns:vt="http://schemas.openxmlformats.org/officeDocument/2006/docPropsVTypes">
  <Template>Normal.dotm</Template>
  <Pages>4</Pages>
  <Words>340</Words>
  <Characters>1938</Characters>
  <Lines>16</Lines>
  <Paragraphs>4</Paragraphs>
  <TotalTime>170</TotalTime>
  <ScaleCrop>false</ScaleCrop>
  <LinksUpToDate>false</LinksUpToDate>
  <CharactersWithSpaces>2274</CharactersWithSpaces>
  <Application>WPS Office</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2026-09-20T23:35:00Z</dcterms:created>
  <dc:creator/>
  <cp:lastModifiedBy/>
  <dcterms:modified xsi:type="dcterms:W3CDTF">2026-09-30T05:11:01Z</dcterms:modified>
  <dc:title>关于成都坤晟坤威置业有限公司等3户债权资产包的处置公告</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ies>
</file>