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DBCD0">
      <w:pPr>
        <w:spacing w:line="400" w:lineRule="exact"/>
        <w:rPr>
          <w:rFonts w:eastAsia="楷体_GB2312"/>
          <w:b/>
          <w:sz w:val="32"/>
          <w:szCs w:val="32"/>
        </w:rPr>
      </w:pPr>
      <w:r>
        <w:rPr>
          <w:rFonts w:hint="eastAsia" w:eastAsia="楷体_GB2312"/>
          <w:b/>
          <w:sz w:val="32"/>
          <w:szCs w:val="32"/>
        </w:rPr>
        <w:t xml:space="preserve">   </w:t>
      </w:r>
    </w:p>
    <w:p w14:paraId="3DB28FD4">
      <w:pPr>
        <w:keepLines/>
        <w:autoSpaceDE w:val="0"/>
        <w:autoSpaceDN w:val="0"/>
        <w:adjustRightInd w:val="0"/>
        <w:spacing w:before="100" w:beforeAutospacing="1" w:after="100" w:afterAutospacing="1"/>
        <w:ind w:firstLine="3518" w:firstLineChars="1095"/>
        <w:rPr>
          <w:rFonts w:eastAsia="楷体_GB2312"/>
          <w:b/>
          <w:kern w:val="0"/>
          <w:sz w:val="32"/>
          <w:szCs w:val="32"/>
        </w:rPr>
      </w:pPr>
      <w:r>
        <w:rPr>
          <w:rFonts w:hint="eastAsia" w:eastAsia="楷体_GB2312"/>
          <w:b/>
          <w:kern w:val="0"/>
          <w:sz w:val="32"/>
          <w:szCs w:val="32"/>
        </w:rPr>
        <w:t>保密承诺书</w:t>
      </w:r>
    </w:p>
    <w:p w14:paraId="6E732BBD">
      <w:pPr>
        <w:keepLines/>
        <w:autoSpaceDE w:val="0"/>
        <w:autoSpaceDN w:val="0"/>
        <w:adjustRightInd w:val="0"/>
        <w:jc w:val="left"/>
        <w:rPr>
          <w:rFonts w:ascii="仿宋" w:hAnsi="仿宋" w:eastAsia="仿宋"/>
          <w:kern w:val="0"/>
          <w:sz w:val="24"/>
          <w:lang w:val="en-GB"/>
        </w:rPr>
      </w:pPr>
      <w:r>
        <w:rPr>
          <w:rFonts w:ascii="仿宋" w:hAnsi="仿宋" w:eastAsia="仿宋"/>
          <w:kern w:val="0"/>
          <w:sz w:val="24"/>
          <w:lang w:val="en-GB"/>
        </w:rPr>
        <w:t>日</w:t>
      </w:r>
      <w:r>
        <w:rPr>
          <w:rFonts w:hint="eastAsia" w:ascii="仿宋" w:hAnsi="仿宋" w:eastAsia="仿宋"/>
          <w:kern w:val="0"/>
          <w:sz w:val="24"/>
          <w:lang w:val="en-GB"/>
        </w:rPr>
        <w:t xml:space="preserve">  </w:t>
      </w:r>
      <w:r>
        <w:rPr>
          <w:rFonts w:ascii="仿宋" w:hAnsi="仿宋" w:eastAsia="仿宋"/>
          <w:kern w:val="0"/>
          <w:sz w:val="24"/>
          <w:lang w:val="en-GB"/>
        </w:rPr>
        <w:t>期：</w:t>
      </w:r>
      <w:r>
        <w:rPr>
          <w:rFonts w:hint="eastAsia" w:ascii="仿宋" w:hAnsi="仿宋" w:eastAsia="仿宋"/>
          <w:kern w:val="0"/>
          <w:sz w:val="24"/>
          <w:lang w:val="en-GB"/>
        </w:rPr>
        <w:t>202</w:t>
      </w:r>
      <w:r>
        <w:rPr>
          <w:rFonts w:hint="eastAsia" w:ascii="仿宋" w:hAnsi="仿宋" w:eastAsia="仿宋"/>
          <w:kern w:val="0"/>
          <w:sz w:val="24"/>
          <w:lang w:val="en-US" w:eastAsia="zh-CN"/>
        </w:rPr>
        <w:t>6</w:t>
      </w:r>
      <w:r>
        <w:rPr>
          <w:rFonts w:hint="eastAsia" w:ascii="仿宋" w:hAnsi="仿宋" w:eastAsia="仿宋"/>
          <w:kern w:val="0"/>
          <w:sz w:val="24"/>
          <w:lang w:val="en-GB"/>
        </w:rPr>
        <w:t>年  月  日</w:t>
      </w:r>
      <w:r>
        <w:rPr>
          <w:rFonts w:ascii="仿宋" w:hAnsi="仿宋" w:eastAsia="仿宋"/>
          <w:kern w:val="0"/>
          <w:sz w:val="24"/>
          <w:lang w:val="en-GB"/>
        </w:rPr>
        <w:t xml:space="preserve"> </w:t>
      </w:r>
    </w:p>
    <w:p w14:paraId="0721DC13">
      <w:pPr>
        <w:keepLines/>
        <w:autoSpaceDE w:val="0"/>
        <w:autoSpaceDN w:val="0"/>
        <w:adjustRightInd w:val="0"/>
        <w:jc w:val="left"/>
        <w:rPr>
          <w:rFonts w:ascii="仿宋" w:hAnsi="仿宋" w:eastAsia="仿宋"/>
          <w:kern w:val="0"/>
          <w:sz w:val="24"/>
          <w:lang w:val="en-GB"/>
        </w:rPr>
      </w:pPr>
      <w:r>
        <w:rPr>
          <w:rFonts w:hint="eastAsia" w:ascii="仿宋" w:hAnsi="仿宋" w:eastAsia="仿宋"/>
          <w:kern w:val="0"/>
          <w:sz w:val="24"/>
          <w:lang w:val="en-GB"/>
        </w:rPr>
        <w:t>致：中国东方资产管理股份有限公司山东省分公司</w:t>
      </w:r>
    </w:p>
    <w:p w14:paraId="59BBFBBC">
      <w:pPr>
        <w:keepLines/>
        <w:autoSpaceDE w:val="0"/>
        <w:autoSpaceDN w:val="0"/>
        <w:adjustRightInd w:val="0"/>
        <w:jc w:val="left"/>
        <w:rPr>
          <w:rFonts w:ascii="仿宋" w:hAnsi="仿宋" w:eastAsia="仿宋"/>
          <w:kern w:val="0"/>
          <w:sz w:val="24"/>
          <w:lang w:val="en-GB"/>
        </w:rPr>
      </w:pPr>
      <w:r>
        <w:rPr>
          <w:rFonts w:ascii="仿宋" w:hAnsi="仿宋" w:eastAsia="仿宋"/>
          <w:kern w:val="0"/>
          <w:sz w:val="24"/>
          <w:lang w:val="en-GB"/>
        </w:rPr>
        <w:t>收启人：</w:t>
      </w:r>
      <w:r>
        <w:rPr>
          <w:rFonts w:hint="eastAsia" w:ascii="仿宋" w:hAnsi="仿宋" w:eastAsia="仿宋"/>
          <w:kern w:val="0"/>
          <w:sz w:val="24"/>
          <w:lang w:val="en-US" w:eastAsia="zh-CN"/>
        </w:rPr>
        <w:t>张</w:t>
      </w:r>
      <w:r>
        <w:rPr>
          <w:rFonts w:hint="eastAsia" w:ascii="仿宋" w:hAnsi="仿宋" w:eastAsia="仿宋"/>
          <w:kern w:val="0"/>
          <w:sz w:val="24"/>
          <w:lang w:val="en-GB"/>
        </w:rPr>
        <w:t>经理</w:t>
      </w:r>
    </w:p>
    <w:p w14:paraId="79A2E69A">
      <w:pPr>
        <w:keepLines/>
        <w:autoSpaceDE w:val="0"/>
        <w:autoSpaceDN w:val="0"/>
        <w:adjustRightInd w:val="0"/>
        <w:jc w:val="left"/>
        <w:rPr>
          <w:rFonts w:hint="default" w:ascii="仿宋" w:hAnsi="仿宋" w:eastAsia="仿宋"/>
          <w:kern w:val="0"/>
          <w:sz w:val="24"/>
          <w:lang w:val="en-US" w:eastAsia="zh-CN"/>
        </w:rPr>
      </w:pPr>
      <w:r>
        <w:rPr>
          <w:rFonts w:ascii="仿宋" w:hAnsi="仿宋" w:eastAsia="仿宋"/>
          <w:kern w:val="0"/>
          <w:sz w:val="24"/>
          <w:lang w:val="en-GB"/>
        </w:rPr>
        <w:t>电</w:t>
      </w:r>
      <w:r>
        <w:rPr>
          <w:rFonts w:hint="eastAsia" w:ascii="仿宋" w:hAnsi="仿宋" w:eastAsia="仿宋"/>
          <w:kern w:val="0"/>
          <w:sz w:val="24"/>
          <w:lang w:val="en-GB"/>
        </w:rPr>
        <w:t xml:space="preserve">  </w:t>
      </w:r>
      <w:r>
        <w:rPr>
          <w:rFonts w:ascii="仿宋" w:hAnsi="仿宋" w:eastAsia="仿宋"/>
          <w:kern w:val="0"/>
          <w:sz w:val="24"/>
          <w:lang w:val="en-GB"/>
        </w:rPr>
        <w:t>话：</w:t>
      </w:r>
      <w:r>
        <w:rPr>
          <w:rFonts w:hint="eastAsia" w:ascii="仿宋" w:hAnsi="仿宋" w:eastAsia="仿宋"/>
          <w:kern w:val="0"/>
          <w:sz w:val="24"/>
          <w:lang w:val="en-GB"/>
        </w:rPr>
        <w:t>0532-58</w:t>
      </w:r>
      <w:r>
        <w:rPr>
          <w:rFonts w:hint="eastAsia" w:ascii="仿宋" w:hAnsi="仿宋" w:eastAsia="仿宋"/>
          <w:kern w:val="0"/>
          <w:sz w:val="24"/>
          <w:lang w:val="en-US" w:eastAsia="zh-CN"/>
        </w:rPr>
        <w:t>218865</w:t>
      </w:r>
    </w:p>
    <w:p w14:paraId="14C2BB9F">
      <w:pPr>
        <w:rPr>
          <w:rFonts w:ascii="楷体_GB2312" w:hAnsi="华文楷体" w:eastAsia="楷体_GB2312"/>
          <w:sz w:val="24"/>
        </w:rPr>
      </w:pPr>
    </w:p>
    <w:p w14:paraId="1B1BAC43">
      <w:pPr>
        <w:pStyle w:val="24"/>
        <w:widowControl w:val="0"/>
        <w:spacing w:line="240" w:lineRule="auto"/>
        <w:ind w:left="0" w:firstLine="480" w:firstLineChars="200"/>
        <w:outlineLvl w:val="9"/>
        <w:rPr>
          <w:rFonts w:ascii="楷体_GB2312" w:hAnsi="华文楷体" w:eastAsia="楷体_GB2312"/>
          <w:spacing w:val="0"/>
          <w:szCs w:val="24"/>
          <w:lang w:eastAsia="zh-CN"/>
        </w:rPr>
      </w:pPr>
      <w:r>
        <w:rPr>
          <w:rFonts w:hint="eastAsia" w:ascii="楷体_GB2312" w:hAnsi="华文楷体" w:eastAsia="楷体_GB2312"/>
          <w:spacing w:val="0"/>
          <w:szCs w:val="24"/>
          <w:lang w:eastAsia="zh-CN"/>
        </w:rPr>
        <w:t>本单位/本人，___________________________________ (下称“投资人”)，拟参加中国东方资产管理股份有限公司山东省分公司(下称“东方”)公开竞价出售东方对青岛益惠客购物中心有限公司等</w:t>
      </w:r>
      <w:r>
        <w:rPr>
          <w:rFonts w:hint="eastAsia" w:ascii="楷体_GB2312" w:hAnsi="华文楷体" w:eastAsia="楷体_GB2312"/>
          <w:spacing w:val="0"/>
          <w:szCs w:val="24"/>
          <w:lang w:val="en-US" w:eastAsia="zh-CN"/>
        </w:rPr>
        <w:t>六</w:t>
      </w:r>
      <w:r>
        <w:rPr>
          <w:rFonts w:hint="eastAsia" w:ascii="楷体_GB2312" w:hAnsi="华文楷体" w:eastAsia="楷体_GB2312"/>
          <w:spacing w:val="0"/>
          <w:szCs w:val="24"/>
          <w:lang w:eastAsia="zh-CN"/>
        </w:rPr>
        <w:t>户项目（下称“标的资产”，标的资产具体情况详见附件）的公开竞争性程序(下称“交易”)。考虑到东方同意就交易向投资人提供保密信息(定义见下文)并与投资人就标的资产出售事宜进行商讨，投资人确认保密信息具有保密性质，且东方系根据本承诺书的规定在投资人对东方严格履行保密义务的情况下进行提供，并且仅为对标的资产作研究和评估以及商讨出售之目的而使用。投资人进一步同意并作出以下承诺：</w:t>
      </w:r>
    </w:p>
    <w:p w14:paraId="3FF18BE5">
      <w:pPr>
        <w:pStyle w:val="2"/>
        <w:keepNext w:val="0"/>
        <w:numPr>
          <w:ilvl w:val="0"/>
          <w:numId w:val="0"/>
        </w:numPr>
        <w:rPr>
          <w:rFonts w:ascii="楷体_GB2312" w:hAnsi="华文楷体" w:eastAsia="楷体_GB2312"/>
          <w:sz w:val="21"/>
          <w:szCs w:val="21"/>
          <w:lang w:val="en-GB"/>
        </w:rPr>
      </w:pPr>
    </w:p>
    <w:p w14:paraId="50DA26DE">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保密信息</w:t>
      </w:r>
    </w:p>
    <w:p w14:paraId="71EB8F68">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为本承诺书之目的，“保密信息”指由东方通过任何方式，提供给投资人或其代理或顾问的，有关东方或交易或标的资产的任何性质的任何信息。具体包括：(i)由投资人或其代理或顾问通过与东方的董事、管理层或雇员或该等人员的任何顾问的商讨交流，而获得的任何保密信息；(ii)与东方、标的资产或交易有关的全部协议、文件和材料；(iii)保密信息(定义见本条款)的全部复制件(定义见下文第4.2条)，以及由投资人或其代理或顾问制作的、包含或反映该等保密信息(为避免歧义，包括交易以及相关讨论和谈判的存在)的任何报告、分析、编辑、研究或其它材料或文件；以及(iv)东方向投资人或其代理或顾问提供的不被公众所知的其他文件资料和信息。</w:t>
      </w:r>
    </w:p>
    <w:p w14:paraId="1306ED7D">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 xml:space="preserve">保密信息不应包括(i)已经为公众所知的任何该等保密信息，除非该信息是由于投资人或任何有权人士(定义见下文第3.1条)违反本承诺书中的义务而为公众所知的；(ii)非因任何第三方违反保密义务而导致的，在依本承诺书披露前已为投资人或任何有权人士所获知的任何该等保密信息；(iii)投资人或任何有权人士自第三方处获得的信息，而向其提供该等信息的第三方对东方并不承担保密义务；或(iv)投资人能够证明是由一个或多个有权人士在不依赖保密信息的情况下所开发的任何该等保密信息。 </w:t>
      </w:r>
    </w:p>
    <w:p w14:paraId="71D2824A">
      <w:pPr>
        <w:rPr>
          <w:b/>
        </w:rPr>
      </w:pPr>
    </w:p>
    <w:p w14:paraId="68E1222C">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保密义务</w:t>
      </w:r>
    </w:p>
    <w:p w14:paraId="49BC40A2">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获取和收取东方交付或提供的保密信息，应符合东方做出的指示和要求，无论该指示和要求是总体上或在某一特定场合做出的。在东方的场所获得的保密信息不得带出东方的场所或该等其它场所，因为该信息的获取可能并未取得东方的事先书面同意。</w:t>
      </w:r>
    </w:p>
    <w:p w14:paraId="569D9A67">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同意对所有保密信息保密，投资人使用保密信息应仅限于对标的资产研究和评估以及商讨交易之目的，不应用于任何其它目的。根据第3条的规定，未经东方的事先书面同意，投资人不得将保密信息披露给除有权人士之外的任何个人、公司、组织或者其他机构。投资人承诺将确保保密信息得到保护，使其免于被窃取或为任何未经授权人士获得，除非经东方授权，否则任何人不应从投资人处收到任何保密信息。</w:t>
      </w:r>
    </w:p>
    <w:p w14:paraId="0E073C23">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投资人同意并承诺全面遵守适用于东方提供或使投资人获得保密信息、投资人接触和使用保密信息或与标的资产或交易有关的全部相关法律、法规、规则和指令。</w:t>
      </w:r>
    </w:p>
    <w:p w14:paraId="36A1099A">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在不影响投资人(根据本承诺函、法律或其它规定所承担)的任何保密义务的情况下，投资人进一步同意并承诺，不会同任何其他已知的标的资产潜在投资人讨论任何事宜，也不会将与标的资产或标的资产营销或交易有关的任何信息或文件提供给任何其他已知的标的资产潜在投资人，或使该等潜在投资人获得任何保密信息。</w:t>
      </w:r>
    </w:p>
    <w:p w14:paraId="0DEFB835">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对于投资人在本承诺书签署前已了解到的保密信息(如有)，投资人同意按照本承诺书的规定对该等信息加以保密。</w:t>
      </w:r>
    </w:p>
    <w:p w14:paraId="6B87C58D">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对有权人士的披露</w:t>
      </w:r>
    </w:p>
    <w:p w14:paraId="1FDFFF2F">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投资人和东方同意以下人员应为“有权人士”：</w:t>
      </w:r>
    </w:p>
    <w:p w14:paraId="455FF276">
      <w:pPr>
        <w:pStyle w:val="25"/>
        <w:widowControl w:val="0"/>
        <w:numPr>
          <w:ilvl w:val="0"/>
          <w:numId w:val="4"/>
        </w:numPr>
        <w:tabs>
          <w:tab w:val="left" w:pos="810"/>
          <w:tab w:val="clear" w:pos="720"/>
        </w:tabs>
        <w:spacing w:before="0" w:after="120"/>
        <w:ind w:left="1418" w:hanging="698"/>
        <w:jc w:val="both"/>
        <w:rPr>
          <w:rFonts w:ascii="楷体_GB2312" w:hAnsi="华文楷体" w:eastAsia="楷体_GB2312"/>
          <w:szCs w:val="24"/>
          <w:lang w:eastAsia="zh-CN"/>
        </w:rPr>
      </w:pPr>
      <w:r>
        <w:rPr>
          <w:rFonts w:hint="eastAsia" w:ascii="楷体_GB2312" w:hAnsi="华文楷体" w:eastAsia="楷体_GB2312"/>
          <w:szCs w:val="24"/>
          <w:lang w:eastAsia="zh-CN"/>
        </w:rPr>
        <w:t>投资人的董事、高级管理人员和雇员；</w:t>
      </w:r>
    </w:p>
    <w:p w14:paraId="60E38E7B">
      <w:pPr>
        <w:pStyle w:val="25"/>
        <w:widowControl w:val="0"/>
        <w:numPr>
          <w:ilvl w:val="0"/>
          <w:numId w:val="4"/>
        </w:numPr>
        <w:tabs>
          <w:tab w:val="left" w:pos="1170"/>
          <w:tab w:val="clear" w:pos="720"/>
        </w:tabs>
        <w:spacing w:before="0" w:after="120"/>
        <w:ind w:left="1418" w:hanging="698"/>
        <w:jc w:val="both"/>
        <w:rPr>
          <w:rFonts w:ascii="楷体_GB2312" w:hAnsi="华文楷体" w:eastAsia="楷体_GB2312"/>
          <w:szCs w:val="24"/>
          <w:lang w:eastAsia="zh-CN"/>
        </w:rPr>
      </w:pPr>
      <w:r>
        <w:rPr>
          <w:rFonts w:hint="eastAsia" w:ascii="楷体_GB2312" w:hAnsi="华文楷体" w:eastAsia="楷体_GB2312"/>
          <w:szCs w:val="24"/>
          <w:lang w:eastAsia="zh-CN"/>
        </w:rPr>
        <w:t>投资人所聘请的专业咨询师和/或顾问；</w:t>
      </w:r>
    </w:p>
    <w:p w14:paraId="6A3F4926">
      <w:pPr>
        <w:pStyle w:val="25"/>
        <w:widowControl w:val="0"/>
        <w:numPr>
          <w:ilvl w:val="0"/>
          <w:numId w:val="4"/>
        </w:numPr>
        <w:tabs>
          <w:tab w:val="left" w:pos="1170"/>
          <w:tab w:val="clear" w:pos="720"/>
        </w:tabs>
        <w:spacing w:before="0" w:after="120"/>
        <w:ind w:left="1418" w:hanging="698"/>
        <w:jc w:val="both"/>
        <w:rPr>
          <w:rFonts w:ascii="楷体_GB2312" w:hAnsi="华文楷体" w:eastAsia="楷体_GB2312"/>
          <w:szCs w:val="24"/>
          <w:lang w:eastAsia="zh-CN"/>
        </w:rPr>
      </w:pPr>
      <w:r>
        <w:rPr>
          <w:rFonts w:hint="eastAsia" w:ascii="楷体_GB2312" w:hAnsi="华文楷体" w:eastAsia="楷体_GB2312"/>
          <w:szCs w:val="24"/>
          <w:lang w:eastAsia="zh-CN"/>
        </w:rPr>
        <w:t>东方已书面同意可收到保密信息的任何其他人。</w:t>
      </w:r>
    </w:p>
    <w:p w14:paraId="217D9D26">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可把一些或全部保密信息披露给任何有权人士，但条件是投资人应确保使每一有权人士在获得任何保密信息之前了解本承诺书的规定，本承诺书中对投资人规定的义务同样对有权人士具有约束力，且该等有权人士使用保密信息的范围限于合法适当地参与对标的资产的研究、评估、商讨或向投资人提供咨询。投资人应确保每一有权人士遵守本承诺书中的各项规定，如同有权人士是本承诺书的一方。</w:t>
      </w:r>
    </w:p>
    <w:p w14:paraId="345847BB">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投资人同意，投资人将对任何有权人士违反本承诺书的任何规定承担违约责任，如同投资人违反了这些规定。</w:t>
      </w:r>
    </w:p>
    <w:p w14:paraId="17D0AC8A">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如果投资人为交易目的聘用任何咨询顾问，投资人应向东方发送顾问披露声明。如果据投资人所知，无论是实际的(包括东方的通知)或经提醒的，投资人聘用的顾问曾为任何其他的交易潜在投资人所聘用，投资人须要求相关顾问采取适当的措施和程序，以防止该等顾问直接或间接地同任何其他潜在投资人、公司、实体或个人串通、同谋、共谋或达成协议，提交与交易有关的具有竞争性的投标，或避免提交与交易有关的投标，或直接或间接地以任何方式与任何其他的潜在投资人、公司或个人达成协议、串通、沟通或商讨，而影响投资人投标或任何其它潜在投资人投标中的一项或多项价格。投资人将迅速通知东方该等措施和程序的程度与方式。投资人同意并确认，如果东方认为投资人可能已违反了本承诺书中规定的任何声明或保证，或者如果投资人的任何顾问可能已参与了本承诺书禁止的任何行为，则东方有权单方决定，取消投资人的资格。</w:t>
      </w:r>
    </w:p>
    <w:p w14:paraId="61BFF2A4">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复制件</w:t>
      </w:r>
    </w:p>
    <w:p w14:paraId="0AAB0906">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只有在对标的资产的作价和评估以及商讨交易所必需的条件下，投资人可以制作复制件。所有的复制件应当清楚地表明为保密文件，并且受本承诺书条款的限制。</w:t>
      </w:r>
    </w:p>
    <w:p w14:paraId="7E8CDB1D">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为本承诺书之目的，“复制件”应指保密信息的复制件，包括任何文件、电子文档、注释、摘要、分析，或代表、记录和记载保密信息的包含、反映或源自保密信息的任何其它方法。</w:t>
      </w:r>
    </w:p>
    <w:p w14:paraId="435B1A83">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法律要求的披露</w:t>
      </w:r>
    </w:p>
    <w:p w14:paraId="1198DE1D">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如果投资人意识到，根据法律、法规、监管机构或有管辖权法院的命令，投资人可能被要求披露任何保密信息，投资人应在披露前立即将该事实、所有有关的情况和将被披露的保密信息以书面形式通知东方。如果投资人在作出该等披露之前不被允许通知东方，投资人应在披露之后立即通知东方。</w:t>
      </w:r>
    </w:p>
    <w:p w14:paraId="05BC715C">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在进行任何该等披露之前，投资人应(除非不允许)就如何避免或限制披露可能</w:t>
      </w:r>
      <w:r>
        <w:rPr>
          <w:rFonts w:ascii="楷体_GB2312" w:hAnsi="华文楷体" w:eastAsia="楷体_GB2312"/>
          <w:b w:val="0"/>
          <w:sz w:val="24"/>
          <w:szCs w:val="24"/>
        </w:rPr>
        <w:t>造成</w:t>
      </w:r>
      <w:r>
        <w:rPr>
          <w:rFonts w:hint="eastAsia" w:ascii="楷体_GB2312" w:hAnsi="华文楷体" w:eastAsia="楷体_GB2312"/>
          <w:b w:val="0"/>
          <w:sz w:val="24"/>
          <w:szCs w:val="24"/>
        </w:rPr>
        <w:t>的不良影响与东方进行沟通，并应从接收披露保密信息的机构获得关于保密的任何可以获得的保证。受上述规定的限制，投资人可以在被要求披露保密信息的最低程度上，根据法律、法规或主管司法法庭的命令，对保密信息进行披露。</w:t>
      </w:r>
    </w:p>
    <w:p w14:paraId="3808EC85">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在投资人知晓或怀疑保密信息已被披露给任何未授权方后，投资人应立即通知东方。</w:t>
      </w:r>
    </w:p>
    <w:p w14:paraId="15BDC170">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保密信息的归还</w:t>
      </w:r>
    </w:p>
    <w:p w14:paraId="1A0A2177">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如果在任何时间东方决定交易将不再继续进行，或者如果东方着手把标的资产交易给另一方，或为此进行谈判，东方可以于届时或随后的任何时间要求投资人停止所有对保密信息的评估及使用，并且在这种情况下：</w:t>
      </w:r>
    </w:p>
    <w:p w14:paraId="678EC975">
      <w:pPr>
        <w:numPr>
          <w:ilvl w:val="2"/>
          <w:numId w:val="5"/>
        </w:numPr>
        <w:spacing w:after="240"/>
        <w:rPr>
          <w:rFonts w:ascii="楷体_GB2312" w:hAnsi="华文楷体" w:eastAsia="楷体_GB2312"/>
          <w:sz w:val="24"/>
        </w:rPr>
      </w:pPr>
      <w:r>
        <w:rPr>
          <w:rFonts w:hint="eastAsia" w:ascii="楷体_GB2312" w:hAnsi="华文楷体" w:eastAsia="楷体_GB2312"/>
          <w:sz w:val="24"/>
        </w:rPr>
        <w:t>投资人应将拥有的标的资产保密信息和复制件归还给东方，或者(如果按照东方的指示)应将其销毁或永久删除，并应确保每一有权人士采取同样的做法；</w:t>
      </w:r>
    </w:p>
    <w:p w14:paraId="7F255CF2">
      <w:pPr>
        <w:numPr>
          <w:ilvl w:val="2"/>
          <w:numId w:val="5"/>
        </w:numPr>
        <w:spacing w:after="240"/>
        <w:rPr>
          <w:rFonts w:ascii="楷体_GB2312" w:hAnsi="华文楷体" w:eastAsia="楷体_GB2312"/>
          <w:sz w:val="24"/>
        </w:rPr>
      </w:pPr>
      <w:r>
        <w:rPr>
          <w:rFonts w:hint="eastAsia" w:ascii="楷体_GB2312" w:hAnsi="华文楷体" w:eastAsia="楷体_GB2312"/>
          <w:sz w:val="24"/>
        </w:rPr>
        <w:t>投资人应销毁由其制作或为其制作的或其拥有的、包含任何保密信息的所有文件，并应确保每一有权人士采取同样的做法。</w:t>
      </w:r>
    </w:p>
    <w:p w14:paraId="46730BA1">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尽管有第6.1条的规定，应投资人特别申请并经东方事先特别书面同意，投资人可保留部分保密信息。但应对该部分保密信息始终承担保密义务及责任。</w:t>
      </w:r>
    </w:p>
    <w:p w14:paraId="00081C3C">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应东方要求，投资人在根据第6.1条归还保密信息和复制件、并根据第6.2条保留部分保密信息的情况下，应向东方提供由投资人适当授权的代表(或东方可接受的其他人员)合法签署的证明信，确认就宣告方所知和所信，投资人已遵守了其在第6.1条项下的全部义务，并描述根据上述第6.2条拟保留的保密信息。</w:t>
      </w:r>
    </w:p>
    <w:p w14:paraId="5B481D85">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对投资人的限制</w:t>
      </w:r>
    </w:p>
    <w:p w14:paraId="2DE55DC0">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 xml:space="preserve">投资人在此确认并证实，东方没有向其授予与保密信息有关的任何权利或许可，除非在本承诺书中有明确规定。 </w:t>
      </w:r>
    </w:p>
    <w:p w14:paraId="22B68C2B">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承诺，未经东方的事先书面同意，无论投资人或投资人的任何代表或有权人士，均不得与标的资产的任何东方的前手权利人、借款人、抵押人、担保人或与标的资产有关的其他担保提供者(或他们当中的任何董事、高级管理人员或雇员)、或以东方为受益人的任何担保财产的任何租户、占用者、持有者或使用者联络，来讨论或提供或接收与标的资产或标的资产交易有关的任何信息。</w:t>
      </w:r>
    </w:p>
    <w:p w14:paraId="5D2AF697">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保密信息披露的基础</w:t>
      </w:r>
    </w:p>
    <w:p w14:paraId="79E7A640">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本承诺书及根据本承诺书向投资人提供任何保密信息不应构成对标的资产进行买卖的要约。投资人确认，东方没有义务接受投资人对购买标的资产提出的任何报价，与交易有关的双方的义务(如有)应完全由东方和投资人为标的资产交易而正式签署的标的资产转让协议来规定。</w:t>
      </w:r>
    </w:p>
    <w:p w14:paraId="5B6E2510">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关于向投资人提供的任何保密信息的准确性或完整性，东方现在或将来都不作任何声明或保证，无论是明示的或是暗示的；关于与此相关的责任或义务，东方现在或将来均不承担，除非根据由东方和投资人为标的资产交易而正式签署的标的资产转让协议的条款另有规定。</w:t>
      </w:r>
    </w:p>
    <w:p w14:paraId="746BFCB5">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投资人同意，投资人不会就保密信息或与保密信息有关的错误陈述提出索赔或诉讼或其它要求。</w:t>
      </w:r>
    </w:p>
    <w:p w14:paraId="32393970">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在提供保密信息时，东方不承诺使投资人获得任何其它的保密信息，或对保密信息进行更新，或改正所提供的保密信息中可能明显出现的任何不准确之处。</w:t>
      </w:r>
    </w:p>
    <w:p w14:paraId="77D195E6">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投资人在本承诺书项下的义务应持续有效，除第6.2适用该条款特别约定外，其他义务应自本承诺书签署之日起的三年内一直具有完全的效力，除非根据由东方和投资人为标的资产交易而正式签署的标的资产转让协议的条款对与该标的资产相关的保密义务另有规定。</w:t>
      </w:r>
    </w:p>
    <w:p w14:paraId="6AC1462E">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东方权利的确认</w:t>
      </w:r>
    </w:p>
    <w:p w14:paraId="523CD0C6">
      <w:pPr>
        <w:pStyle w:val="3"/>
        <w:keepNext w:val="0"/>
        <w:numPr>
          <w:ilvl w:val="0"/>
          <w:numId w:val="0"/>
        </w:numPr>
        <w:spacing w:after="240"/>
        <w:ind w:left="360"/>
        <w:rPr>
          <w:rFonts w:ascii="楷体_GB2312" w:hAnsi="华文楷体" w:eastAsia="楷体_GB2312"/>
          <w:b w:val="0"/>
          <w:sz w:val="24"/>
          <w:szCs w:val="24"/>
        </w:rPr>
      </w:pPr>
      <w:r>
        <w:rPr>
          <w:rFonts w:hint="eastAsia" w:ascii="楷体_GB2312" w:hAnsi="华文楷体" w:eastAsia="楷体_GB2312"/>
          <w:b w:val="0"/>
          <w:sz w:val="24"/>
          <w:szCs w:val="24"/>
        </w:rPr>
        <w:t>投资人确认并同意，东方拥有以下权利：</w:t>
      </w:r>
    </w:p>
    <w:p w14:paraId="6923D750">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如果东方作出判断，认为投资人不具备评估标的资产收购风险、对标的资产进行投标、完成标的资产的收购或从事与标的资产相关的业务所需的知识、经验、能力或财务或其他资源，则东方有权在任何时候要求投资人提供其它的或更新的信息，并有权拒绝给予投资人收购资格；</w:t>
      </w:r>
    </w:p>
    <w:p w14:paraId="69CF9468">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在任何时候撤销、取消或修改交易条款；</w:t>
      </w:r>
    </w:p>
    <w:p w14:paraId="4EC24D23">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在任何时候接受或拒绝投资人或任何其他潜在投资人的投标；</w:t>
      </w:r>
    </w:p>
    <w:p w14:paraId="0638696F">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不必给出原因，在任何时间就任何方面，终止同投资人或任何或全部潜在投资人的讨论；或不必事先通知投资人，就涉及标的资产的交易同任何一方进行谈判；以及</w:t>
      </w:r>
    </w:p>
    <w:p w14:paraId="70A932E4">
      <w:pPr>
        <w:pStyle w:val="3"/>
        <w:keepNext w:val="0"/>
        <w:keepLines w:val="0"/>
        <w:numPr>
          <w:ilvl w:val="1"/>
          <w:numId w:val="3"/>
        </w:numPr>
        <w:spacing w:after="240"/>
        <w:rPr>
          <w:rFonts w:ascii="楷体_GB2312" w:hAnsi="华文楷体" w:eastAsia="楷体_GB2312"/>
          <w:b w:val="0"/>
          <w:sz w:val="24"/>
          <w:szCs w:val="24"/>
        </w:rPr>
      </w:pPr>
      <w:r>
        <w:rPr>
          <w:rFonts w:hint="eastAsia" w:ascii="楷体_GB2312" w:hAnsi="华文楷体" w:eastAsia="楷体_GB2312"/>
          <w:b w:val="0"/>
          <w:sz w:val="24"/>
          <w:szCs w:val="24"/>
        </w:rPr>
        <w:t>不必给出原因，在任何时间就任何方面，终止投资人和/或任何其他的标的资产潜在投资人参与交易的进程。</w:t>
      </w:r>
    </w:p>
    <w:p w14:paraId="605151B5">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赔偿</w:t>
      </w:r>
    </w:p>
    <w:p w14:paraId="76C68D60">
      <w:pPr>
        <w:pStyle w:val="26"/>
        <w:widowControl w:val="0"/>
        <w:spacing w:before="0" w:after="240"/>
        <w:ind w:left="359" w:leftChars="171" w:firstLine="480" w:firstLineChars="200"/>
        <w:jc w:val="both"/>
        <w:rPr>
          <w:rFonts w:ascii="楷体_GB2312" w:hAnsi="华文楷体" w:eastAsia="楷体_GB2312"/>
          <w:iCs/>
          <w:szCs w:val="24"/>
          <w:lang w:eastAsia="zh-CN"/>
        </w:rPr>
      </w:pPr>
      <w:r>
        <w:rPr>
          <w:rFonts w:hint="eastAsia" w:ascii="楷体_GB2312" w:hAnsi="华文楷体" w:eastAsia="楷体_GB2312"/>
          <w:iCs/>
          <w:szCs w:val="24"/>
          <w:lang w:eastAsia="zh-CN"/>
        </w:rPr>
        <w:t>投资人承诺，如因投资人或任何有权人士违反本承诺书中包含的声明、保证或义务，东方有权向投资者</w:t>
      </w:r>
      <w:r>
        <w:rPr>
          <w:rFonts w:ascii="楷体_GB2312" w:hAnsi="华文楷体" w:eastAsia="楷体_GB2312"/>
          <w:iCs/>
          <w:szCs w:val="24"/>
          <w:lang w:eastAsia="zh-CN"/>
        </w:rPr>
        <w:t>追偿，要求投资者</w:t>
      </w:r>
      <w:r>
        <w:rPr>
          <w:rFonts w:hint="eastAsia" w:ascii="楷体_GB2312" w:hAnsi="华文楷体" w:eastAsia="楷体_GB2312"/>
          <w:iCs/>
          <w:szCs w:val="24"/>
          <w:lang w:eastAsia="zh-CN"/>
        </w:rPr>
        <w:t>支付东方因此遭受的任何损失、费用、罚金或罚款，包括但不限于，与实现东方的权利、或为促使投资人履行义务或本承诺书项下或根据本承诺书的任何有权人士履行义务有关而使东方发生的任何开销(包括合理的律师费和支出)、费用或其它债务。</w:t>
      </w:r>
    </w:p>
    <w:p w14:paraId="225C64EB">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管辖法律与争议解决</w:t>
      </w:r>
    </w:p>
    <w:p w14:paraId="0A998E91">
      <w:pPr>
        <w:pStyle w:val="26"/>
        <w:spacing w:after="240"/>
        <w:ind w:left="449" w:leftChars="214" w:firstLine="480" w:firstLineChars="200"/>
        <w:rPr>
          <w:rFonts w:ascii="楷体_GB2312" w:hAnsi="华文楷体" w:eastAsia="楷体_GB2312"/>
          <w:szCs w:val="24"/>
          <w:lang w:eastAsia="zh-CN"/>
        </w:rPr>
      </w:pPr>
      <w:r>
        <w:rPr>
          <w:rFonts w:hint="eastAsia" w:ascii="楷体_GB2312" w:hAnsi="华文楷体" w:eastAsia="楷体_GB2312"/>
          <w:szCs w:val="24"/>
          <w:lang w:eastAsia="zh-CN"/>
        </w:rPr>
        <w:t>本承诺书的效力、解释和履行应受中国法律的管辖。对于因本承诺书引起的、或与本承诺书有关的任何争议，东方和投资人应通过友好协商来解决。如果在该协商开始后30天内双方未能找到满意的解决方法，可以采用以下第1种方式解决：</w:t>
      </w:r>
    </w:p>
    <w:p w14:paraId="70A9EDE9">
      <w:pPr>
        <w:pStyle w:val="26"/>
        <w:spacing w:after="240"/>
        <w:ind w:left="449" w:leftChars="214" w:firstLine="480" w:firstLineChars="200"/>
        <w:rPr>
          <w:rFonts w:ascii="楷体_GB2312" w:hAnsi="华文楷体" w:eastAsia="楷体_GB2312"/>
          <w:szCs w:val="24"/>
          <w:lang w:eastAsia="zh-CN"/>
        </w:rPr>
      </w:pPr>
      <w:r>
        <w:rPr>
          <w:rFonts w:hint="eastAsia" w:ascii="楷体_GB2312" w:hAnsi="华文楷体" w:eastAsia="楷体_GB2312"/>
          <w:szCs w:val="24"/>
          <w:lang w:eastAsia="zh-CN"/>
        </w:rPr>
        <w:t>(1)</w:t>
      </w:r>
      <w:r>
        <w:rPr>
          <w:rFonts w:hint="eastAsia" w:ascii="楷体_GB2312" w:hAnsi="华文楷体" w:eastAsia="楷体_GB2312"/>
          <w:szCs w:val="24"/>
          <w:lang w:eastAsia="zh-CN"/>
        </w:rPr>
        <w:tab/>
      </w:r>
      <w:r>
        <w:rPr>
          <w:rFonts w:hint="eastAsia" w:ascii="楷体_GB2312" w:hAnsi="华文楷体" w:eastAsia="楷体_GB2312"/>
          <w:szCs w:val="24"/>
          <w:lang w:eastAsia="zh-CN"/>
        </w:rPr>
        <w:t>向东方住所地有管辖权的人民法院提起诉讼；</w:t>
      </w:r>
    </w:p>
    <w:p w14:paraId="55A91906">
      <w:pPr>
        <w:pStyle w:val="26"/>
        <w:widowControl w:val="0"/>
        <w:spacing w:before="0" w:after="240"/>
        <w:ind w:left="449" w:leftChars="214" w:firstLine="480" w:firstLineChars="200"/>
        <w:jc w:val="both"/>
        <w:rPr>
          <w:rFonts w:ascii="楷体_GB2312" w:hAnsi="华文楷体" w:eastAsia="楷体_GB2312"/>
          <w:b/>
          <w:szCs w:val="24"/>
          <w:lang w:eastAsia="zh-CN"/>
        </w:rPr>
      </w:pPr>
      <w:r>
        <w:rPr>
          <w:rFonts w:hint="eastAsia" w:ascii="楷体_GB2312" w:hAnsi="华文楷体" w:eastAsia="楷体_GB2312"/>
          <w:szCs w:val="24"/>
          <w:lang w:eastAsia="zh-CN"/>
        </w:rPr>
        <w:t>(2)</w:t>
      </w:r>
      <w:r>
        <w:rPr>
          <w:rFonts w:hint="eastAsia" w:ascii="楷体_GB2312" w:hAnsi="华文楷体" w:eastAsia="楷体_GB2312"/>
          <w:szCs w:val="24"/>
          <w:lang w:eastAsia="zh-CN"/>
        </w:rPr>
        <w:tab/>
      </w:r>
      <w:r>
        <w:rPr>
          <w:rFonts w:hint="eastAsia" w:ascii="楷体_GB2312" w:hAnsi="华文楷体" w:eastAsia="楷体_GB2312"/>
          <w:szCs w:val="24"/>
          <w:lang w:eastAsia="zh-CN"/>
        </w:rPr>
        <w:t>提交仲裁委员会在仲裁地点按其届时有效的仲裁规则作出有拘束力的仲裁裁决。仲裁庭由三名仲裁员组成。东方</w:t>
      </w:r>
      <w:r>
        <w:rPr>
          <w:rFonts w:ascii="楷体_GB2312" w:hAnsi="华文楷体" w:eastAsia="楷体_GB2312"/>
          <w:szCs w:val="24"/>
          <w:lang w:eastAsia="zh-CN"/>
        </w:rPr>
        <w:t>和</w:t>
      </w:r>
      <w:r>
        <w:rPr>
          <w:rFonts w:hint="eastAsia" w:ascii="楷体_GB2312" w:hAnsi="华文楷体" w:eastAsia="楷体_GB2312"/>
          <w:szCs w:val="24"/>
          <w:lang w:eastAsia="zh-CN"/>
        </w:rPr>
        <w:t>投资人有权各选定一名仲裁员；双方应共同选定第三名仲裁员，第三名仲裁员为仲裁庭的首席仲裁员。仲裁语言为中文。该仲裁裁决为终局性裁决，对双方均有法律约束力。完整协议</w:t>
      </w:r>
    </w:p>
    <w:p w14:paraId="5F59C6EA">
      <w:pPr>
        <w:pStyle w:val="26"/>
        <w:widowControl w:val="0"/>
        <w:spacing w:before="0" w:after="240"/>
        <w:ind w:left="359" w:leftChars="171" w:firstLine="480" w:firstLineChars="200"/>
        <w:jc w:val="both"/>
        <w:rPr>
          <w:rFonts w:ascii="楷体_GB2312" w:hAnsi="华文楷体" w:eastAsia="楷体_GB2312"/>
          <w:szCs w:val="24"/>
          <w:lang w:eastAsia="zh-CN"/>
        </w:rPr>
      </w:pPr>
      <w:r>
        <w:rPr>
          <w:rFonts w:hint="eastAsia" w:ascii="楷体_GB2312" w:hAnsi="华文楷体" w:eastAsia="楷体_GB2312"/>
          <w:szCs w:val="24"/>
          <w:lang w:eastAsia="zh-CN"/>
        </w:rPr>
        <w:t>本承诺书包含双方就本承诺书的主题事项所同意的全部条款，并取代双方之前的任何协议、备忘录或安排，无论是口头的或是书面的。除非本承诺书有明确规定，否则不得认为在本承诺书之前双方谈判的任何口头或书面内容中，已作出或暗含任何声明、承诺或许诺。</w:t>
      </w:r>
    </w:p>
    <w:p w14:paraId="31586B76">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变更与弃权</w:t>
      </w:r>
    </w:p>
    <w:p w14:paraId="64532060">
      <w:pPr>
        <w:pStyle w:val="26"/>
        <w:widowControl w:val="0"/>
        <w:spacing w:before="0" w:after="240"/>
        <w:ind w:left="449" w:leftChars="214" w:firstLine="480" w:firstLineChars="200"/>
        <w:jc w:val="both"/>
        <w:rPr>
          <w:rFonts w:ascii="楷体_GB2312" w:hAnsi="华文楷体" w:eastAsia="楷体_GB2312"/>
          <w:szCs w:val="24"/>
          <w:lang w:eastAsia="zh-CN"/>
        </w:rPr>
      </w:pPr>
      <w:r>
        <w:rPr>
          <w:rFonts w:hint="eastAsia" w:ascii="楷体_GB2312" w:hAnsi="华文楷体" w:eastAsia="楷体_GB2312"/>
          <w:szCs w:val="24"/>
          <w:lang w:eastAsia="zh-CN"/>
        </w:rPr>
        <w:t xml:space="preserve">除非双方的授权代理人以书面形式签署，否则对本承诺书的任何变更或修改均无效。任何一方在任何时间或任何期间未能实施本承诺书的条款或执行根据本承诺书而产生的任何权利，不应构成，且不应被解释为对该条款或权利的放弃，也不应对该方在以后对该条款和权利的实施或执行构成任何不利影响。 </w:t>
      </w:r>
    </w:p>
    <w:p w14:paraId="1BC6D3CD">
      <w:pPr>
        <w:pStyle w:val="2"/>
        <w:keepNext w:val="0"/>
        <w:numPr>
          <w:ilvl w:val="0"/>
          <w:numId w:val="3"/>
        </w:numPr>
        <w:spacing w:after="100" w:afterAutospacing="1"/>
        <w:rPr>
          <w:rFonts w:ascii="楷体_GB2312" w:hAnsi="华文楷体" w:eastAsia="楷体_GB2312"/>
          <w:b w:val="0"/>
          <w:sz w:val="24"/>
          <w:szCs w:val="24"/>
        </w:rPr>
      </w:pPr>
      <w:r>
        <w:rPr>
          <w:rFonts w:hint="eastAsia" w:ascii="楷体_GB2312" w:hAnsi="华文楷体" w:eastAsia="楷体_GB2312"/>
          <w:b w:val="0"/>
          <w:sz w:val="24"/>
          <w:szCs w:val="24"/>
        </w:rPr>
        <w:t>可分割性</w:t>
      </w:r>
    </w:p>
    <w:p w14:paraId="2CFC5BF0">
      <w:pPr>
        <w:pStyle w:val="26"/>
        <w:widowControl w:val="0"/>
        <w:spacing w:before="0" w:after="240"/>
        <w:ind w:left="449" w:leftChars="214" w:firstLine="480" w:firstLineChars="200"/>
        <w:jc w:val="both"/>
        <w:rPr>
          <w:rFonts w:ascii="楷体_GB2312" w:hAnsi="华文楷体" w:eastAsia="楷体_GB2312"/>
          <w:szCs w:val="24"/>
          <w:lang w:eastAsia="zh-CN"/>
        </w:rPr>
      </w:pPr>
      <w:r>
        <w:rPr>
          <w:rFonts w:hint="eastAsia" w:ascii="楷体_GB2312" w:hAnsi="华文楷体" w:eastAsia="楷体_GB2312"/>
          <w:szCs w:val="24"/>
          <w:lang w:eastAsia="zh-CN"/>
        </w:rPr>
        <w:t>本承诺书任何条款的无效或根据本承诺书产生的任何权利的无法执行或实现，均不会以任何方式影响其余的条款或权利。</w:t>
      </w:r>
    </w:p>
    <w:p w14:paraId="27301C74">
      <w:pPr>
        <w:pStyle w:val="6"/>
        <w:rPr>
          <w:rFonts w:ascii="楷体_GB2312" w:hAnsi="华文楷体" w:eastAsia="楷体_GB2312"/>
          <w:b/>
          <w:szCs w:val="21"/>
        </w:rPr>
      </w:pPr>
    </w:p>
    <w:p w14:paraId="48419144">
      <w:pPr>
        <w:tabs>
          <w:tab w:val="left" w:pos="4320"/>
        </w:tabs>
        <w:rPr>
          <w:rFonts w:ascii="楷体_GB2312" w:hAnsi="华文楷体" w:eastAsia="楷体_GB2312"/>
          <w:sz w:val="24"/>
        </w:rPr>
      </w:pPr>
      <w:r>
        <w:rPr>
          <w:rFonts w:hint="eastAsia" w:ascii="楷体_GB2312" w:hAnsi="华文楷体" w:eastAsia="楷体_GB2312"/>
          <w:sz w:val="24"/>
        </w:rPr>
        <w:t>此致</w:t>
      </w:r>
    </w:p>
    <w:p w14:paraId="0C340988">
      <w:pPr>
        <w:tabs>
          <w:tab w:val="left" w:pos="4320"/>
        </w:tabs>
        <w:rPr>
          <w:rFonts w:ascii="楷体_GB2312" w:hAnsi="华文楷体" w:eastAsia="楷体_GB2312"/>
          <w:b/>
          <w:sz w:val="24"/>
        </w:rPr>
      </w:pPr>
    </w:p>
    <w:p w14:paraId="54EA34E6">
      <w:pPr>
        <w:tabs>
          <w:tab w:val="left" w:pos="4320"/>
        </w:tabs>
        <w:rPr>
          <w:rFonts w:ascii="楷体_GB2312" w:hAnsi="华文楷体" w:eastAsia="楷体_GB2312"/>
          <w:b/>
          <w:sz w:val="24"/>
        </w:rPr>
      </w:pPr>
      <w:r>
        <w:rPr>
          <w:rFonts w:hint="eastAsia" w:ascii="楷体_GB2312" w:hAnsi="华文楷体" w:eastAsia="楷体_GB2312"/>
          <w:b/>
          <w:sz w:val="24"/>
        </w:rPr>
        <w:t>中国东方资产管理股份有限公司山东省分公司</w:t>
      </w:r>
    </w:p>
    <w:p w14:paraId="156083B2">
      <w:pPr>
        <w:tabs>
          <w:tab w:val="left" w:pos="4320"/>
        </w:tabs>
        <w:rPr>
          <w:rFonts w:ascii="楷体_GB2312" w:hAnsi="华文楷体" w:eastAsia="楷体_GB2312"/>
          <w:sz w:val="24"/>
        </w:rPr>
      </w:pPr>
    </w:p>
    <w:p w14:paraId="3118C42F">
      <w:pPr>
        <w:spacing w:before="156" w:beforeLines="50" w:line="400" w:lineRule="exact"/>
        <w:rPr>
          <w:rFonts w:ascii="楷体_GB2312" w:eastAsia="楷体_GB2312"/>
          <w:sz w:val="24"/>
        </w:rPr>
      </w:pPr>
      <w:r>
        <w:rPr>
          <w:rFonts w:hint="eastAsia" w:ascii="楷体_GB2312" w:eastAsia="楷体_GB2312"/>
          <w:sz w:val="24"/>
        </w:rPr>
        <w:t>投资者（公章）（投资</w:t>
      </w:r>
      <w:r>
        <w:rPr>
          <w:rFonts w:ascii="楷体_GB2312" w:eastAsia="楷体_GB2312"/>
          <w:sz w:val="24"/>
        </w:rPr>
        <w:t>人为</w:t>
      </w:r>
      <w:r>
        <w:rPr>
          <w:rFonts w:hint="eastAsia" w:ascii="楷体_GB2312" w:eastAsia="楷体_GB2312"/>
          <w:sz w:val="24"/>
        </w:rPr>
        <w:t>非自然人）：____________________________________</w:t>
      </w:r>
    </w:p>
    <w:p w14:paraId="2A0A6FC8">
      <w:pPr>
        <w:spacing w:before="156" w:beforeLines="50" w:line="400" w:lineRule="exact"/>
        <w:rPr>
          <w:rFonts w:ascii="楷体_GB2312" w:eastAsia="楷体_GB2312"/>
          <w:sz w:val="24"/>
        </w:rPr>
      </w:pPr>
      <w:r>
        <w:rPr>
          <w:rFonts w:hint="eastAsia" w:ascii="楷体_GB2312" w:eastAsia="楷体_GB2312"/>
          <w:sz w:val="24"/>
        </w:rPr>
        <w:t>法定代表人或授权代理人（签字）：_________________</w:t>
      </w:r>
    </w:p>
    <w:p w14:paraId="10D27419">
      <w:pPr>
        <w:spacing w:before="156" w:beforeLines="50" w:line="400" w:lineRule="exact"/>
        <w:rPr>
          <w:rFonts w:ascii="楷体_GB2312" w:eastAsia="楷体_GB2312"/>
          <w:sz w:val="24"/>
        </w:rPr>
      </w:pPr>
    </w:p>
    <w:p w14:paraId="3C00B6BA">
      <w:pPr>
        <w:pStyle w:val="7"/>
        <w:tabs>
          <w:tab w:val="left" w:pos="4320"/>
        </w:tabs>
        <w:spacing w:before="60" w:after="60"/>
        <w:rPr>
          <w:rFonts w:ascii="华文楷体" w:hAnsi="华文楷体" w:eastAsia="华文楷体"/>
          <w:szCs w:val="21"/>
        </w:rPr>
      </w:pPr>
    </w:p>
    <w:p w14:paraId="1B436970">
      <w:pPr>
        <w:rPr>
          <w:rFonts w:hint="eastAsia" w:ascii="楷体_GB2312" w:hAnsi="宋体" w:eastAsia="楷体_GB2312"/>
          <w:b/>
          <w:sz w:val="24"/>
        </w:rPr>
      </w:pPr>
      <w:r>
        <w:rPr>
          <w:rFonts w:hint="eastAsia" w:ascii="楷体_GB2312" w:hAnsi="宋体" w:eastAsia="楷体_GB2312"/>
          <w:b/>
          <w:sz w:val="24"/>
        </w:rPr>
        <w:br w:type="page"/>
      </w:r>
    </w:p>
    <w:p w14:paraId="7D4A7198">
      <w:pPr>
        <w:autoSpaceDE w:val="0"/>
        <w:autoSpaceDN w:val="0"/>
        <w:adjustRightInd w:val="0"/>
        <w:spacing w:after="312" w:afterLines="100" w:line="300" w:lineRule="auto"/>
        <w:outlineLvl w:val="0"/>
        <w:rPr>
          <w:rFonts w:hint="eastAsia" w:ascii="楷体_GB2312" w:hAnsi="宋体" w:eastAsia="楷体_GB2312"/>
          <w:b/>
          <w:sz w:val="24"/>
        </w:rPr>
      </w:pPr>
      <w:r>
        <w:rPr>
          <w:rFonts w:hint="eastAsia" w:ascii="楷体_GB2312" w:hAnsi="宋体" w:eastAsia="楷体_GB2312"/>
          <w:b/>
          <w:sz w:val="24"/>
        </w:rPr>
        <w:t>附件   标的资产清单</w:t>
      </w:r>
    </w:p>
    <w:p w14:paraId="710A0313">
      <w:pPr>
        <w:keepNext w:val="0"/>
        <w:keepLines w:val="0"/>
        <w:pageBreakBefore w:val="0"/>
        <w:widowControl w:val="0"/>
        <w:kinsoku/>
        <w:wordWrap w:val="0"/>
        <w:overflowPunct/>
        <w:topLinePunct w:val="0"/>
        <w:autoSpaceDE/>
        <w:autoSpaceDN/>
        <w:bidi w:val="0"/>
        <w:adjustRightInd/>
        <w:snapToGrid/>
        <w:spacing w:line="300" w:lineRule="auto"/>
        <w:ind w:right="459"/>
        <w:jc w:val="right"/>
        <w:textAlignment w:val="auto"/>
        <w:rPr>
          <w:rFonts w:ascii="楷体" w:hAnsi="楷体" w:eastAsia="楷体"/>
          <w:sz w:val="23"/>
          <w:szCs w:val="28"/>
        </w:rPr>
      </w:pPr>
      <w:r>
        <w:rPr>
          <w:rFonts w:hint="eastAsia" w:ascii="仿宋_GB2312" w:hAnsi="仿宋_GB2312" w:eastAsia="仿宋_GB2312" w:cs="仿宋_GB2312"/>
          <w:sz w:val="24"/>
          <w:szCs w:val="28"/>
          <w:lang w:val="en-US" w:eastAsia="zh-CN"/>
        </w:rPr>
        <w:t xml:space="preserve"> </w:t>
      </w:r>
      <w:r>
        <w:rPr>
          <w:rFonts w:hint="eastAsia" w:ascii="仿宋_GB2312" w:hAnsi="仿宋_GB2312" w:eastAsia="仿宋_GB2312" w:cs="仿宋_GB2312"/>
          <w:sz w:val="23"/>
          <w:szCs w:val="28"/>
        </w:rPr>
        <w:t>基准日：202</w:t>
      </w:r>
      <w:r>
        <w:rPr>
          <w:rFonts w:hint="eastAsia" w:ascii="仿宋_GB2312" w:hAnsi="仿宋_GB2312" w:eastAsia="仿宋_GB2312" w:cs="仿宋_GB2312"/>
          <w:sz w:val="23"/>
          <w:szCs w:val="28"/>
          <w:lang w:val="en-US" w:eastAsia="zh-CN"/>
        </w:rPr>
        <w:t>6</w:t>
      </w:r>
      <w:r>
        <w:rPr>
          <w:rFonts w:hint="eastAsia" w:ascii="仿宋_GB2312" w:hAnsi="仿宋_GB2312" w:eastAsia="仿宋_GB2312" w:cs="仿宋_GB2312"/>
          <w:sz w:val="23"/>
          <w:szCs w:val="28"/>
        </w:rPr>
        <w:t>年</w:t>
      </w:r>
      <w:r>
        <w:rPr>
          <w:rFonts w:hint="eastAsia" w:ascii="仿宋_GB2312" w:hAnsi="仿宋_GB2312" w:eastAsia="仿宋_GB2312" w:cs="仿宋_GB2312"/>
          <w:sz w:val="23"/>
          <w:szCs w:val="28"/>
          <w:lang w:val="en-US" w:eastAsia="zh-CN"/>
        </w:rPr>
        <w:t>2</w:t>
      </w:r>
      <w:r>
        <w:rPr>
          <w:rFonts w:hint="eastAsia" w:ascii="仿宋_GB2312" w:hAnsi="仿宋_GB2312" w:eastAsia="仿宋_GB2312" w:cs="仿宋_GB2312"/>
          <w:sz w:val="23"/>
          <w:szCs w:val="28"/>
        </w:rPr>
        <w:t>月</w:t>
      </w:r>
      <w:r>
        <w:rPr>
          <w:rFonts w:hint="eastAsia" w:ascii="仿宋_GB2312" w:hAnsi="仿宋_GB2312" w:eastAsia="仿宋_GB2312" w:cs="仿宋_GB2312"/>
          <w:sz w:val="23"/>
          <w:szCs w:val="28"/>
          <w:lang w:val="en-US" w:eastAsia="zh-CN"/>
        </w:rPr>
        <w:t>20</w:t>
      </w:r>
      <w:r>
        <w:rPr>
          <w:rFonts w:hint="eastAsia" w:ascii="仿宋_GB2312" w:hAnsi="仿宋_GB2312" w:eastAsia="仿宋_GB2312" w:cs="仿宋_GB2312"/>
          <w:sz w:val="23"/>
          <w:szCs w:val="28"/>
        </w:rPr>
        <w:t xml:space="preserve">日                           </w:t>
      </w:r>
      <w:bookmarkStart w:id="0" w:name="_GoBack"/>
      <w:bookmarkEnd w:id="0"/>
      <w:r>
        <w:rPr>
          <w:rFonts w:hint="eastAsia" w:ascii="仿宋_GB2312" w:hAnsi="仿宋_GB2312" w:eastAsia="仿宋_GB2312" w:cs="仿宋_GB2312"/>
          <w:sz w:val="23"/>
          <w:szCs w:val="28"/>
        </w:rPr>
        <w:t xml:space="preserve">单位：人民币  </w:t>
      </w:r>
      <w:r>
        <w:rPr>
          <w:rFonts w:hint="eastAsia" w:ascii="仿宋_GB2312" w:hAnsi="仿宋_GB2312" w:eastAsia="仿宋_GB2312" w:cs="仿宋_GB2312"/>
          <w:sz w:val="23"/>
          <w:szCs w:val="28"/>
          <w:lang w:val="en-US" w:eastAsia="zh-CN"/>
        </w:rPr>
        <w:t>元</w:t>
      </w:r>
      <w:r>
        <w:rPr>
          <w:rFonts w:hint="eastAsia" w:ascii="楷体" w:hAnsi="楷体" w:eastAsia="楷体"/>
          <w:sz w:val="23"/>
          <w:szCs w:val="28"/>
        </w:rPr>
        <w:t xml:space="preserve"> </w:t>
      </w:r>
    </w:p>
    <w:tbl>
      <w:tblPr>
        <w:tblStyle w:val="12"/>
        <w:tblW w:w="5975" w:type="pct"/>
        <w:tblInd w:w="-95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945"/>
        <w:gridCol w:w="1875"/>
        <w:gridCol w:w="1830"/>
        <w:gridCol w:w="1365"/>
        <w:gridCol w:w="630"/>
        <w:gridCol w:w="795"/>
        <w:gridCol w:w="2205"/>
      </w:tblGrid>
      <w:tr w14:paraId="73ADB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85" w:hRule="atLeast"/>
          <w:tblHeader/>
        </w:trPr>
        <w:tc>
          <w:tcPr>
            <w:tcW w:w="265"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vAlign w:val="center"/>
          </w:tcPr>
          <w:p w14:paraId="466C02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463"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vAlign w:val="center"/>
          </w:tcPr>
          <w:p w14:paraId="2467BC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借款人 </w:t>
            </w:r>
          </w:p>
        </w:tc>
        <w:tc>
          <w:tcPr>
            <w:tcW w:w="920"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noWrap/>
            <w:vAlign w:val="center"/>
          </w:tcPr>
          <w:p w14:paraId="3453C0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本金 </w:t>
            </w:r>
          </w:p>
        </w:tc>
        <w:tc>
          <w:tcPr>
            <w:tcW w:w="898"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noWrap/>
            <w:vAlign w:val="center"/>
          </w:tcPr>
          <w:p w14:paraId="2D773B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利息 </w:t>
            </w:r>
          </w:p>
        </w:tc>
        <w:tc>
          <w:tcPr>
            <w:tcW w:w="670"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noWrap/>
            <w:vAlign w:val="center"/>
          </w:tcPr>
          <w:p w14:paraId="4D2F2C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垫付费用（含应收款） </w:t>
            </w:r>
          </w:p>
        </w:tc>
        <w:tc>
          <w:tcPr>
            <w:tcW w:w="309"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vAlign w:val="center"/>
          </w:tcPr>
          <w:p w14:paraId="19F2EB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担保方式 </w:t>
            </w:r>
          </w:p>
        </w:tc>
        <w:tc>
          <w:tcPr>
            <w:tcW w:w="390"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vAlign w:val="center"/>
          </w:tcPr>
          <w:p w14:paraId="383585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保证人 </w:t>
            </w:r>
          </w:p>
        </w:tc>
        <w:tc>
          <w:tcPr>
            <w:tcW w:w="1082" w:type="pct"/>
            <w:tcBorders>
              <w:top w:val="single" w:color="000000" w:sz="4" w:space="0"/>
              <w:left w:val="single" w:color="000000" w:sz="4" w:space="0"/>
              <w:bottom w:val="single" w:color="000000" w:sz="4" w:space="0"/>
              <w:right w:val="single" w:color="000000" w:sz="4" w:space="0"/>
            </w:tcBorders>
            <w:shd w:val="clear" w:color="auto" w:fill="A4A4A4" w:themeFill="background1" w:themeFillShade="A5"/>
            <w:vAlign w:val="center"/>
          </w:tcPr>
          <w:p w14:paraId="5E9CDB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 xml:space="preserve">抵（质）押物情况 </w:t>
            </w:r>
          </w:p>
        </w:tc>
      </w:tr>
      <w:tr w14:paraId="1256D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42F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B96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青岛益惠客购物中心有限公司</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0F74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40,000,000.00</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614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79,793,453.74 </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F03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202,187.80 </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0B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抵押+保证</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18D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张锡山；张勇文</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A051">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抵押物：青岛劳伦斯房地产开发有限公司名下青岛即墨区鹤山路599号福泰国际大厦22、12、25、26层，面积4587.53平方米。</w:t>
            </w:r>
          </w:p>
        </w:tc>
      </w:tr>
      <w:tr w14:paraId="75F30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0" w:hRule="atLeast"/>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21D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F9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青岛中和伟业商贸有限公司</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FFE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10,000,000.00</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313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25,067,253.80 </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394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217,018.00 </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D6F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抵押+保证</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DD9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常志松；张勇文</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0C39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抵押物：倪翠玲名下位于青岛市北区福州北路135-1号601.3平米房产。</w:t>
            </w:r>
          </w:p>
        </w:tc>
      </w:tr>
      <w:tr w14:paraId="03166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890" w:hRule="atLeast"/>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49A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0C8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青岛宝梭服饰有限公司</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19A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9,285,313.16</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013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10,966,852.76 </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7B2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39,851.00 </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45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抵押+保证</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D1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姜泽宗；张勇文</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997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抵押物：青岛鲁锐商贸有限公司名下烟台莱阳市旌旗东路008号盛隆广场B区0007-126/127/201/203/204的房产五套，面积分别为236.83米、283.76平米、404.48 平米、136.91平米、134.35平米，合计面积1,196.33平米。抵押房产对应土地面积199.37平方米。</w:t>
            </w:r>
          </w:p>
        </w:tc>
      </w:tr>
      <w:tr w14:paraId="343DA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0" w:hRule="atLeast"/>
        </w:trPr>
        <w:tc>
          <w:tcPr>
            <w:tcW w:w="2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3899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2C5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青岛格兰威尔国际贸易有限公司</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496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13,496,182.41</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99E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35,675,314.12 </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CD63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 xml:space="preserve">175,674.00 </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317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抵押+保证</w:t>
            </w:r>
          </w:p>
        </w:tc>
        <w:tc>
          <w:tcPr>
            <w:tcW w:w="3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0C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刘宗承；肖玉玲</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438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抵押物：肖玉玲名下青岛开发区九华山路2-15号787.19平方米网点房。</w:t>
            </w:r>
          </w:p>
        </w:tc>
      </w:tr>
      <w:tr w14:paraId="5E20F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4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22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267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青岛裕凯劳务服务有限公司</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89C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2,799,924.50</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459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167,026.90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7C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14,714.00</w:t>
            </w:r>
          </w:p>
        </w:tc>
        <w:tc>
          <w:tcPr>
            <w:tcW w:w="3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9D5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49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共同借款人张启海</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B34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w:t>
            </w:r>
          </w:p>
        </w:tc>
      </w:tr>
      <w:tr w14:paraId="1BE32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810"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57D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73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青岛金岭山建筑工程有限公司</w:t>
            </w:r>
          </w:p>
        </w:tc>
        <w:tc>
          <w:tcPr>
            <w:tcW w:w="9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C7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9,125,705.45</w:t>
            </w:r>
          </w:p>
        </w:tc>
        <w:tc>
          <w:tcPr>
            <w:tcW w:w="8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829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496,367.15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F09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38,323.00</w:t>
            </w:r>
          </w:p>
        </w:tc>
        <w:tc>
          <w:tcPr>
            <w:tcW w:w="3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62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抵押+保证</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7BB2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马珍军、李娜</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166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抵押物：马珍军名下崂山区海青路6号鲁信未央花园小区9号楼1单元302户（复式），面积248.18平方米。</w:t>
            </w:r>
          </w:p>
        </w:tc>
      </w:tr>
      <w:tr w14:paraId="72FE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70" w:hRule="atLeast"/>
        </w:trPr>
        <w:tc>
          <w:tcPr>
            <w:tcW w:w="72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D7D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合计</w:t>
            </w:r>
          </w:p>
        </w:tc>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C2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 xml:space="preserve">84,707,125.52 </w:t>
            </w:r>
          </w:p>
        </w:tc>
        <w:tc>
          <w:tcPr>
            <w:tcW w:w="8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39D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 xml:space="preserve">152,166,268.47 </w:t>
            </w:r>
          </w:p>
        </w:tc>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4A0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 xml:space="preserve">687,767.80 </w:t>
            </w:r>
          </w:p>
        </w:tc>
        <w:tc>
          <w:tcPr>
            <w:tcW w:w="3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DD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w:t>
            </w:r>
          </w:p>
        </w:tc>
        <w:tc>
          <w:tcPr>
            <w:tcW w:w="3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AC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w:t>
            </w:r>
          </w:p>
        </w:tc>
        <w:tc>
          <w:tcPr>
            <w:tcW w:w="10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E2A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w:t>
            </w:r>
          </w:p>
        </w:tc>
      </w:tr>
    </w:tbl>
    <w:p w14:paraId="1E60F5A3">
      <w:pPr>
        <w:keepNext w:val="0"/>
        <w:keepLines w:val="0"/>
        <w:pageBreakBefore w:val="0"/>
        <w:widowControl w:val="0"/>
        <w:kinsoku/>
        <w:wordWrap w:val="0"/>
        <w:overflowPunct/>
        <w:topLinePunct w:val="0"/>
        <w:autoSpaceDE/>
        <w:autoSpaceDN/>
        <w:bidi w:val="0"/>
        <w:adjustRightInd/>
        <w:snapToGrid/>
        <w:spacing w:line="240" w:lineRule="auto"/>
        <w:ind w:right="845"/>
        <w:textAlignment w:val="auto"/>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注：</w:t>
      </w:r>
      <w:r>
        <w:rPr>
          <w:rFonts w:hint="eastAsia" w:ascii="仿宋_GB2312" w:hAnsi="仿宋_GB2312" w:eastAsia="仿宋_GB2312" w:cs="仿宋_GB2312"/>
          <w:sz w:val="22"/>
          <w:szCs w:val="22"/>
          <w:lang w:val="en-US" w:eastAsia="zh-CN"/>
        </w:rPr>
        <w:t>①</w:t>
      </w:r>
      <w:r>
        <w:rPr>
          <w:rFonts w:hint="eastAsia" w:ascii="仿宋_GB2312" w:hAnsi="仿宋_GB2312" w:eastAsia="仿宋_GB2312" w:cs="仿宋_GB2312"/>
          <w:sz w:val="22"/>
          <w:szCs w:val="22"/>
        </w:rPr>
        <w:t>利息的最终数据以合同约定或生效法律文书确认为准；</w:t>
      </w:r>
    </w:p>
    <w:p w14:paraId="24486C6B">
      <w:pPr>
        <w:keepNext w:val="0"/>
        <w:keepLines w:val="0"/>
        <w:pageBreakBefore w:val="0"/>
        <w:widowControl w:val="0"/>
        <w:kinsoku/>
        <w:wordWrap/>
        <w:overflowPunct/>
        <w:topLinePunct w:val="0"/>
        <w:autoSpaceDE/>
        <w:autoSpaceDN/>
        <w:bidi w:val="0"/>
        <w:adjustRightInd/>
        <w:snapToGrid/>
        <w:spacing w:line="280" w:lineRule="exact"/>
        <w:textAlignment w:val="auto"/>
        <w:outlineLvl w:val="9"/>
        <w:rPr>
          <w:rFonts w:ascii="楷体" w:hAnsi="楷体" w:eastAsia="楷体"/>
          <w:sz w:val="22"/>
          <w:szCs w:val="22"/>
        </w:rPr>
      </w:pPr>
      <w:r>
        <w:rPr>
          <w:rFonts w:hint="eastAsia" w:ascii="仿宋_GB2312" w:hAnsi="仿宋_GB2312" w:eastAsia="仿宋_GB2312" w:cs="仿宋_GB2312"/>
          <w:sz w:val="22"/>
          <w:szCs w:val="22"/>
          <w:lang w:val="en-US" w:eastAsia="zh-CN"/>
        </w:rPr>
        <w:t xml:space="preserve">    ②</w:t>
      </w:r>
      <w:r>
        <w:rPr>
          <w:rFonts w:hint="eastAsia" w:ascii="仿宋_GB2312" w:hAnsi="仿宋_GB2312" w:eastAsia="仿宋_GB2312" w:cs="仿宋_GB2312"/>
          <w:sz w:val="22"/>
          <w:szCs w:val="22"/>
        </w:rPr>
        <w:t>青岛裕凯劳务服务有限公司项目垫付费用</w:t>
      </w:r>
      <w:r>
        <w:rPr>
          <w:rFonts w:hint="eastAsia" w:ascii="仿宋_GB2312" w:hAnsi="仿宋_GB2312" w:eastAsia="仿宋_GB2312" w:cs="仿宋_GB2312"/>
          <w:sz w:val="22"/>
          <w:szCs w:val="22"/>
          <w:lang w:val="en-US" w:eastAsia="zh-CN"/>
        </w:rPr>
        <w:t>列</w:t>
      </w:r>
      <w:r>
        <w:rPr>
          <w:rFonts w:hint="eastAsia" w:ascii="仿宋_GB2312" w:hAnsi="仿宋_GB2312" w:eastAsia="仿宋_GB2312" w:cs="仿宋_GB2312"/>
          <w:sz w:val="22"/>
          <w:szCs w:val="22"/>
        </w:rPr>
        <w:t>为东方垫付诉讼费</w:t>
      </w:r>
      <w:r>
        <w:rPr>
          <w:rFonts w:hint="eastAsia" w:ascii="仿宋_GB2312" w:hAnsi="仿宋_GB2312" w:eastAsia="仿宋_GB2312" w:cs="仿宋_GB2312"/>
          <w:sz w:val="22"/>
          <w:szCs w:val="22"/>
          <w:lang w:val="en-US" w:eastAsia="zh-CN"/>
        </w:rPr>
        <w:t>形成的应收款</w:t>
      </w:r>
      <w:r>
        <w:rPr>
          <w:rFonts w:hint="eastAsia" w:ascii="仿宋_GB2312" w:hAnsi="仿宋_GB2312" w:eastAsia="仿宋_GB2312" w:cs="仿宋_GB2312"/>
          <w:sz w:val="22"/>
          <w:szCs w:val="22"/>
        </w:rPr>
        <w:t>。</w:t>
      </w:r>
    </w:p>
    <w:p w14:paraId="3D30665B">
      <w:pPr>
        <w:keepNext w:val="0"/>
        <w:keepLines w:val="0"/>
        <w:pageBreakBefore w:val="0"/>
        <w:widowControl w:val="0"/>
        <w:kinsoku/>
        <w:wordWrap/>
        <w:overflowPunct/>
        <w:topLinePunct w:val="0"/>
        <w:autoSpaceDE/>
        <w:autoSpaceDN/>
        <w:bidi w:val="0"/>
        <w:adjustRightInd/>
        <w:snapToGrid/>
        <w:spacing w:line="280" w:lineRule="exact"/>
        <w:textAlignment w:val="auto"/>
        <w:outlineLvl w:val="9"/>
        <w:rPr>
          <w:rFonts w:ascii="楷体" w:hAnsi="楷体" w:eastAsia="楷体"/>
          <w:sz w:val="23"/>
          <w:szCs w:val="23"/>
        </w:rPr>
      </w:pPr>
    </w:p>
    <w:p w14:paraId="6FFEEE39">
      <w:pPr>
        <w:wordWrap w:val="0"/>
        <w:spacing w:after="312" w:afterLines="100" w:line="300" w:lineRule="auto"/>
        <w:ind w:right="844"/>
        <w:rPr>
          <w:rFonts w:hint="eastAsia" w:ascii="楷体_GB2312" w:eastAsia="楷体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Dutch 801">
    <w:altName w:val="Times New Roman"/>
    <w:panose1 w:val="00000000000000000000"/>
    <w:charset w:val="00"/>
    <w:family w:val="roman"/>
    <w:pitch w:val="default"/>
    <w:sig w:usb0="00000000" w:usb1="00000000" w:usb2="00000000" w:usb3="00000000" w:csb0="00000001" w:csb1="00000000"/>
  </w:font>
  <w:font w:name="BatangChe">
    <w:panose1 w:val="02030609000101010101"/>
    <w:charset w:val="81"/>
    <w:family w:val="modern"/>
    <w:pitch w:val="default"/>
    <w:sig w:usb0="B00002AF" w:usb1="69D77CFB" w:usb2="00000030" w:usb3="00000000" w:csb0="4008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D67F31"/>
    <w:multiLevelType w:val="multilevel"/>
    <w:tmpl w:val="23D67F31"/>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720"/>
        </w:tabs>
        <w:ind w:left="720" w:hanging="360"/>
      </w:pPr>
      <w:rPr>
        <w:rFonts w:hint="default"/>
      </w:rPr>
    </w:lvl>
    <w:lvl w:ilvl="2" w:tentative="0">
      <w:start w:val="1"/>
      <w:numFmt w:val="decimal"/>
      <w:lvlText w:val="%1.%2.%3"/>
      <w:lvlJc w:val="left"/>
      <w:pPr>
        <w:tabs>
          <w:tab w:val="left" w:pos="1440"/>
        </w:tabs>
        <w:ind w:left="1440" w:hanging="720"/>
      </w:pPr>
      <w:rPr>
        <w:rFonts w:hint="default"/>
      </w:rPr>
    </w:lvl>
    <w:lvl w:ilvl="3" w:tentative="0">
      <w:start w:val="1"/>
      <w:numFmt w:val="decimal"/>
      <w:lvlText w:val="%1.%2.%3.%4"/>
      <w:lvlJc w:val="left"/>
      <w:pPr>
        <w:tabs>
          <w:tab w:val="left" w:pos="1800"/>
        </w:tabs>
        <w:ind w:left="1800" w:hanging="720"/>
      </w:pPr>
      <w:rPr>
        <w:rFonts w:hint="default"/>
      </w:rPr>
    </w:lvl>
    <w:lvl w:ilvl="4" w:tentative="0">
      <w:start w:val="1"/>
      <w:numFmt w:val="decimal"/>
      <w:lvlText w:val="%1.%2.%3.%4.%5"/>
      <w:lvlJc w:val="left"/>
      <w:pPr>
        <w:tabs>
          <w:tab w:val="left" w:pos="2520"/>
        </w:tabs>
        <w:ind w:left="2520" w:hanging="1080"/>
      </w:pPr>
      <w:rPr>
        <w:rFonts w:hint="default"/>
      </w:rPr>
    </w:lvl>
    <w:lvl w:ilvl="5" w:tentative="0">
      <w:start w:val="1"/>
      <w:numFmt w:val="decimal"/>
      <w:lvlText w:val="%1.%2.%3.%4.%5.%6"/>
      <w:lvlJc w:val="left"/>
      <w:pPr>
        <w:tabs>
          <w:tab w:val="left" w:pos="2880"/>
        </w:tabs>
        <w:ind w:left="2880" w:hanging="1080"/>
      </w:pPr>
      <w:rPr>
        <w:rFonts w:hint="default"/>
      </w:rPr>
    </w:lvl>
    <w:lvl w:ilvl="6" w:tentative="0">
      <w:start w:val="1"/>
      <w:numFmt w:val="decimal"/>
      <w:lvlText w:val="%1.%2.%3.%4.%5.%6.%7"/>
      <w:lvlJc w:val="left"/>
      <w:pPr>
        <w:tabs>
          <w:tab w:val="left" w:pos="3600"/>
        </w:tabs>
        <w:ind w:left="3600" w:hanging="1440"/>
      </w:pPr>
      <w:rPr>
        <w:rFonts w:hint="default"/>
      </w:rPr>
    </w:lvl>
    <w:lvl w:ilvl="7" w:tentative="0">
      <w:start w:val="1"/>
      <w:numFmt w:val="decimal"/>
      <w:lvlText w:val="%1.%2.%3.%4.%5.%6.%7.%8"/>
      <w:lvlJc w:val="left"/>
      <w:pPr>
        <w:tabs>
          <w:tab w:val="left" w:pos="3960"/>
        </w:tabs>
        <w:ind w:left="3960" w:hanging="1440"/>
      </w:pPr>
      <w:rPr>
        <w:rFonts w:hint="default"/>
      </w:rPr>
    </w:lvl>
    <w:lvl w:ilvl="8" w:tentative="0">
      <w:start w:val="1"/>
      <w:numFmt w:val="decimal"/>
      <w:lvlText w:val="%1.%2.%3.%4.%5.%6.%7.%8.%9"/>
      <w:lvlJc w:val="left"/>
      <w:pPr>
        <w:tabs>
          <w:tab w:val="left" w:pos="4680"/>
        </w:tabs>
        <w:ind w:left="4680" w:hanging="1800"/>
      </w:pPr>
      <w:rPr>
        <w:rFonts w:hint="default"/>
      </w:rPr>
    </w:lvl>
  </w:abstractNum>
  <w:abstractNum w:abstractNumId="1">
    <w:nsid w:val="33556EB7"/>
    <w:multiLevelType w:val="multilevel"/>
    <w:tmpl w:val="33556EB7"/>
    <w:lvl w:ilvl="0" w:tentative="0">
      <w:start w:val="1"/>
      <w:numFmt w:val="decimal"/>
      <w:pStyle w:val="2"/>
      <w:lvlText w:val="%1."/>
      <w:lvlJc w:val="left"/>
      <w:pPr>
        <w:tabs>
          <w:tab w:val="left" w:pos="0"/>
        </w:tabs>
        <w:ind w:left="0" w:firstLine="0"/>
      </w:pPr>
      <w:rPr>
        <w:rFonts w:hint="eastAsia"/>
      </w:rPr>
    </w:lvl>
    <w:lvl w:ilvl="1" w:tentative="0">
      <w:start w:val="1"/>
      <w:numFmt w:val="decimal"/>
      <w:pStyle w:val="23"/>
      <w:isLgl/>
      <w:lvlText w:val="%1.%2"/>
      <w:lvlJc w:val="left"/>
      <w:pPr>
        <w:tabs>
          <w:tab w:val="left" w:pos="567"/>
        </w:tabs>
        <w:ind w:left="0" w:firstLine="0"/>
      </w:pPr>
      <w:rPr>
        <w:rFonts w:hint="eastAsia"/>
      </w:rPr>
    </w:lvl>
    <w:lvl w:ilvl="2" w:tentative="0">
      <w:start w:val="1"/>
      <w:numFmt w:val="decimal"/>
      <w:lvlText w:val="%1.%2.%3"/>
      <w:lvlJc w:val="left"/>
      <w:pPr>
        <w:tabs>
          <w:tab w:val="left" w:pos="0"/>
        </w:tabs>
        <w:ind w:left="0" w:firstLine="0"/>
      </w:pPr>
      <w:rPr>
        <w:rFonts w:hint="eastAsia"/>
      </w:rPr>
    </w:lvl>
    <w:lvl w:ilvl="3" w:tentative="0">
      <w:start w:val="1"/>
      <w:numFmt w:val="decimal"/>
      <w:lvlText w:val="%1.%2.%3.%4"/>
      <w:lvlJc w:val="left"/>
      <w:pPr>
        <w:tabs>
          <w:tab w:val="left" w:pos="6094"/>
        </w:tabs>
        <w:ind w:left="5722" w:hanging="708"/>
      </w:pPr>
      <w:rPr>
        <w:rFonts w:hint="eastAsia"/>
      </w:rPr>
    </w:lvl>
    <w:lvl w:ilvl="4" w:tentative="0">
      <w:start w:val="1"/>
      <w:numFmt w:val="decimal"/>
      <w:lvlText w:val="%1.%2.%3.%4.%5"/>
      <w:lvlJc w:val="left"/>
      <w:pPr>
        <w:tabs>
          <w:tab w:val="left" w:pos="6519"/>
        </w:tabs>
        <w:ind w:left="6289" w:hanging="850"/>
      </w:pPr>
      <w:rPr>
        <w:rFonts w:hint="eastAsia"/>
      </w:rPr>
    </w:lvl>
    <w:lvl w:ilvl="5" w:tentative="0">
      <w:start w:val="1"/>
      <w:numFmt w:val="decimal"/>
      <w:lvlText w:val="%1.%2.%3.%4.%5.%6"/>
      <w:lvlJc w:val="left"/>
      <w:pPr>
        <w:tabs>
          <w:tab w:val="left" w:pos="7304"/>
        </w:tabs>
        <w:ind w:left="6998" w:hanging="1134"/>
      </w:pPr>
      <w:rPr>
        <w:rFonts w:hint="eastAsia"/>
      </w:rPr>
    </w:lvl>
    <w:lvl w:ilvl="6" w:tentative="0">
      <w:start w:val="1"/>
      <w:numFmt w:val="decimal"/>
      <w:lvlText w:val="%1.%2.%3.%4.%5.%6.%7"/>
      <w:lvlJc w:val="left"/>
      <w:pPr>
        <w:tabs>
          <w:tab w:val="left" w:pos="8089"/>
        </w:tabs>
        <w:ind w:left="7565" w:hanging="1276"/>
      </w:pPr>
      <w:rPr>
        <w:rFonts w:hint="eastAsia"/>
      </w:rPr>
    </w:lvl>
    <w:lvl w:ilvl="7" w:tentative="0">
      <w:start w:val="1"/>
      <w:numFmt w:val="decimal"/>
      <w:lvlText w:val="%1.%2.%3.%4.%5.%6.%7.%8"/>
      <w:lvlJc w:val="left"/>
      <w:pPr>
        <w:tabs>
          <w:tab w:val="left" w:pos="8514"/>
        </w:tabs>
        <w:ind w:left="8132" w:hanging="1418"/>
      </w:pPr>
      <w:rPr>
        <w:rFonts w:hint="eastAsia"/>
      </w:rPr>
    </w:lvl>
    <w:lvl w:ilvl="8" w:tentative="0">
      <w:start w:val="1"/>
      <w:numFmt w:val="decimal"/>
      <w:lvlText w:val="%1.%2.%3.%4.%5.%6.%7.%8.%9"/>
      <w:lvlJc w:val="left"/>
      <w:pPr>
        <w:tabs>
          <w:tab w:val="left" w:pos="9300"/>
        </w:tabs>
        <w:ind w:left="8840" w:hanging="1700"/>
      </w:pPr>
      <w:rPr>
        <w:rFonts w:hint="eastAsia"/>
      </w:rPr>
    </w:lvl>
  </w:abstractNum>
  <w:abstractNum w:abstractNumId="2">
    <w:nsid w:val="35746779"/>
    <w:multiLevelType w:val="singleLevel"/>
    <w:tmpl w:val="35746779"/>
    <w:lvl w:ilvl="0" w:tentative="0">
      <w:start w:val="1"/>
      <w:numFmt w:val="lowerRoman"/>
      <w:lvlText w:val="(%1)"/>
      <w:lvlJc w:val="left"/>
      <w:pPr>
        <w:tabs>
          <w:tab w:val="left" w:pos="720"/>
        </w:tabs>
        <w:ind w:left="360" w:hanging="360"/>
      </w:pPr>
    </w:lvl>
  </w:abstractNum>
  <w:abstractNum w:abstractNumId="3">
    <w:nsid w:val="3D9C3C5A"/>
    <w:multiLevelType w:val="multilevel"/>
    <w:tmpl w:val="3D9C3C5A"/>
    <w:lvl w:ilvl="0" w:tentative="0">
      <w:start w:val="1"/>
      <w:numFmt w:val="decimal"/>
      <w:lvlText w:val="%1"/>
      <w:lvlJc w:val="left"/>
      <w:pPr>
        <w:tabs>
          <w:tab w:val="left" w:pos="0"/>
        </w:tabs>
        <w:ind w:left="0" w:firstLine="0"/>
      </w:pPr>
      <w:rPr>
        <w:rFonts w:hint="eastAsia"/>
      </w:rPr>
    </w:lvl>
    <w:lvl w:ilvl="1" w:tentative="0">
      <w:start w:val="1"/>
      <w:numFmt w:val="decimal"/>
      <w:pStyle w:val="3"/>
      <w:lvlText w:val="%1.%2"/>
      <w:lvlJc w:val="left"/>
      <w:pPr>
        <w:tabs>
          <w:tab w:val="left" w:pos="567"/>
        </w:tabs>
        <w:ind w:left="0" w:firstLine="0"/>
      </w:pPr>
      <w:rPr>
        <w:rFonts w:hint="eastAsia"/>
      </w:rPr>
    </w:lvl>
    <w:lvl w:ilvl="2" w:tentative="0">
      <w:start w:val="1"/>
      <w:numFmt w:val="decimal"/>
      <w:pStyle w:val="4"/>
      <w:lvlText w:val="%1.%2.%3"/>
      <w:lvlJc w:val="left"/>
      <w:pPr>
        <w:tabs>
          <w:tab w:val="left" w:pos="0"/>
        </w:tabs>
        <w:ind w:left="0" w:firstLine="0"/>
      </w:pPr>
      <w:rPr>
        <w:rFonts w:hint="eastAsia"/>
      </w:rPr>
    </w:lvl>
    <w:lvl w:ilvl="3" w:tentative="0">
      <w:start w:val="1"/>
      <w:numFmt w:val="decimal"/>
      <w:lvlText w:val="%1.%2.%3.%4"/>
      <w:lvlJc w:val="left"/>
      <w:pPr>
        <w:tabs>
          <w:tab w:val="left" w:pos="6094"/>
        </w:tabs>
        <w:ind w:left="5722" w:hanging="708"/>
      </w:pPr>
      <w:rPr>
        <w:rFonts w:hint="eastAsia"/>
      </w:rPr>
    </w:lvl>
    <w:lvl w:ilvl="4" w:tentative="0">
      <w:start w:val="1"/>
      <w:numFmt w:val="decimal"/>
      <w:lvlText w:val="%1.%2.%3.%4.%5"/>
      <w:lvlJc w:val="left"/>
      <w:pPr>
        <w:tabs>
          <w:tab w:val="left" w:pos="6519"/>
        </w:tabs>
        <w:ind w:left="6289" w:hanging="850"/>
      </w:pPr>
      <w:rPr>
        <w:rFonts w:hint="eastAsia"/>
      </w:rPr>
    </w:lvl>
    <w:lvl w:ilvl="5" w:tentative="0">
      <w:start w:val="1"/>
      <w:numFmt w:val="decimal"/>
      <w:lvlText w:val="%1.%2.%3.%4.%5.%6"/>
      <w:lvlJc w:val="left"/>
      <w:pPr>
        <w:tabs>
          <w:tab w:val="left" w:pos="7304"/>
        </w:tabs>
        <w:ind w:left="6998" w:hanging="1134"/>
      </w:pPr>
      <w:rPr>
        <w:rFonts w:hint="eastAsia"/>
      </w:rPr>
    </w:lvl>
    <w:lvl w:ilvl="6" w:tentative="0">
      <w:start w:val="1"/>
      <w:numFmt w:val="decimal"/>
      <w:lvlText w:val="%1.%2.%3.%4.%5.%6.%7"/>
      <w:lvlJc w:val="left"/>
      <w:pPr>
        <w:tabs>
          <w:tab w:val="left" w:pos="8089"/>
        </w:tabs>
        <w:ind w:left="7565" w:hanging="1276"/>
      </w:pPr>
      <w:rPr>
        <w:rFonts w:hint="eastAsia"/>
      </w:rPr>
    </w:lvl>
    <w:lvl w:ilvl="7" w:tentative="0">
      <w:start w:val="1"/>
      <w:numFmt w:val="decimal"/>
      <w:lvlText w:val="%1.%2.%3.%4.%5.%6.%7.%8"/>
      <w:lvlJc w:val="left"/>
      <w:pPr>
        <w:tabs>
          <w:tab w:val="left" w:pos="8514"/>
        </w:tabs>
        <w:ind w:left="8132" w:hanging="1418"/>
      </w:pPr>
      <w:rPr>
        <w:rFonts w:hint="eastAsia"/>
      </w:rPr>
    </w:lvl>
    <w:lvl w:ilvl="8" w:tentative="0">
      <w:start w:val="1"/>
      <w:numFmt w:val="decimal"/>
      <w:lvlText w:val="%1.%2.%3.%4.%5.%6.%7.%8.%9"/>
      <w:lvlJc w:val="left"/>
      <w:pPr>
        <w:tabs>
          <w:tab w:val="left" w:pos="9300"/>
        </w:tabs>
        <w:ind w:left="8840" w:hanging="1700"/>
      </w:pPr>
      <w:rPr>
        <w:rFonts w:hint="eastAsia"/>
      </w:rPr>
    </w:lvl>
  </w:abstractNum>
  <w:abstractNum w:abstractNumId="4">
    <w:nsid w:val="7E47483D"/>
    <w:multiLevelType w:val="multilevel"/>
    <w:tmpl w:val="7E47483D"/>
    <w:lvl w:ilvl="0" w:tentative="0">
      <w:start w:val="1"/>
      <w:numFmt w:val="decimal"/>
      <w:lvlText w:val="%1."/>
      <w:lvlJc w:val="left"/>
      <w:pPr>
        <w:tabs>
          <w:tab w:val="left" w:pos="360"/>
        </w:tabs>
        <w:ind w:left="360" w:hanging="360"/>
      </w:pPr>
      <w:rPr>
        <w:rFonts w:hint="default"/>
      </w:rPr>
    </w:lvl>
    <w:lvl w:ilvl="1" w:tentative="0">
      <w:start w:val="1"/>
      <w:numFmt w:val="decimal"/>
      <w:lvlText w:val="%1.%2."/>
      <w:lvlJc w:val="left"/>
      <w:pPr>
        <w:tabs>
          <w:tab w:val="left" w:pos="792"/>
        </w:tabs>
        <w:ind w:left="792" w:hanging="432"/>
      </w:pPr>
      <w:rPr>
        <w:rFonts w:hint="default"/>
      </w:rPr>
    </w:lvl>
    <w:lvl w:ilvl="2" w:tentative="0">
      <w:start w:val="1"/>
      <w:numFmt w:val="decimal"/>
      <w:lvlText w:val="%1.%2.%3."/>
      <w:lvlJc w:val="left"/>
      <w:pPr>
        <w:tabs>
          <w:tab w:val="left" w:pos="1224"/>
        </w:tabs>
        <w:ind w:left="1224" w:hanging="504"/>
      </w:pPr>
      <w:rPr>
        <w:rFonts w:hint="default"/>
      </w:rPr>
    </w:lvl>
    <w:lvl w:ilvl="3" w:tentative="0">
      <w:start w:val="1"/>
      <w:numFmt w:val="decimal"/>
      <w:lvlText w:val="%1.%2.%3.%4."/>
      <w:lvlJc w:val="left"/>
      <w:pPr>
        <w:tabs>
          <w:tab w:val="left" w:pos="1800"/>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288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3960"/>
        </w:tabs>
        <w:ind w:left="3744" w:hanging="1224"/>
      </w:pPr>
      <w:rPr>
        <w:rFonts w:hint="default"/>
      </w:rPr>
    </w:lvl>
    <w:lvl w:ilvl="8" w:tentative="0">
      <w:start w:val="1"/>
      <w:numFmt w:val="decimal"/>
      <w:lvlText w:val="%1.%2.%3.%4.%5.%6.%7.%8.%9."/>
      <w:lvlJc w:val="left"/>
      <w:pPr>
        <w:tabs>
          <w:tab w:val="left" w:pos="4680"/>
        </w:tabs>
        <w:ind w:left="4320" w:hanging="144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NTc5YzE3Mjk0N2IxNzQwNTc3MjdiMjRjYzU2MzAifQ=="/>
  </w:docVars>
  <w:rsids>
    <w:rsidRoot w:val="002055F5"/>
    <w:rsid w:val="00020ED0"/>
    <w:rsid w:val="00022B39"/>
    <w:rsid w:val="0002320A"/>
    <w:rsid w:val="0002384F"/>
    <w:rsid w:val="0004530F"/>
    <w:rsid w:val="00065A5B"/>
    <w:rsid w:val="000A3E3B"/>
    <w:rsid w:val="000B069D"/>
    <w:rsid w:val="000D6A77"/>
    <w:rsid w:val="000E3135"/>
    <w:rsid w:val="000F1FE7"/>
    <w:rsid w:val="000F602B"/>
    <w:rsid w:val="00123F62"/>
    <w:rsid w:val="00182FCD"/>
    <w:rsid w:val="001A78AF"/>
    <w:rsid w:val="001D75FA"/>
    <w:rsid w:val="002009A3"/>
    <w:rsid w:val="0020547F"/>
    <w:rsid w:val="002055F5"/>
    <w:rsid w:val="002324AE"/>
    <w:rsid w:val="00234BB8"/>
    <w:rsid w:val="00240B5D"/>
    <w:rsid w:val="002A7368"/>
    <w:rsid w:val="002E744E"/>
    <w:rsid w:val="002F0DC9"/>
    <w:rsid w:val="00323310"/>
    <w:rsid w:val="003348D1"/>
    <w:rsid w:val="00373A89"/>
    <w:rsid w:val="003951B5"/>
    <w:rsid w:val="003A289F"/>
    <w:rsid w:val="003B4C3F"/>
    <w:rsid w:val="003E1AA0"/>
    <w:rsid w:val="00410F18"/>
    <w:rsid w:val="00425D19"/>
    <w:rsid w:val="00450D55"/>
    <w:rsid w:val="00456A8D"/>
    <w:rsid w:val="00457967"/>
    <w:rsid w:val="00466CB9"/>
    <w:rsid w:val="00472430"/>
    <w:rsid w:val="0047572E"/>
    <w:rsid w:val="004A7ED8"/>
    <w:rsid w:val="004C0D04"/>
    <w:rsid w:val="004D263C"/>
    <w:rsid w:val="004E1D5A"/>
    <w:rsid w:val="004E24CB"/>
    <w:rsid w:val="004F4128"/>
    <w:rsid w:val="005258EF"/>
    <w:rsid w:val="0053296A"/>
    <w:rsid w:val="005456DA"/>
    <w:rsid w:val="00573265"/>
    <w:rsid w:val="005866C4"/>
    <w:rsid w:val="00590F73"/>
    <w:rsid w:val="005D34A6"/>
    <w:rsid w:val="005D65DA"/>
    <w:rsid w:val="005E2867"/>
    <w:rsid w:val="006803CE"/>
    <w:rsid w:val="00690AAD"/>
    <w:rsid w:val="00691127"/>
    <w:rsid w:val="006A1DBE"/>
    <w:rsid w:val="006A58FC"/>
    <w:rsid w:val="006B1559"/>
    <w:rsid w:val="006E5F85"/>
    <w:rsid w:val="006E7804"/>
    <w:rsid w:val="00715EDC"/>
    <w:rsid w:val="00723B12"/>
    <w:rsid w:val="00747908"/>
    <w:rsid w:val="00775593"/>
    <w:rsid w:val="007A093A"/>
    <w:rsid w:val="00846F47"/>
    <w:rsid w:val="00884F1A"/>
    <w:rsid w:val="008A19CC"/>
    <w:rsid w:val="008E6C6F"/>
    <w:rsid w:val="009537E9"/>
    <w:rsid w:val="009645C3"/>
    <w:rsid w:val="009773B3"/>
    <w:rsid w:val="009967B0"/>
    <w:rsid w:val="009A49D5"/>
    <w:rsid w:val="009B6165"/>
    <w:rsid w:val="00A158DD"/>
    <w:rsid w:val="00A81DC8"/>
    <w:rsid w:val="00B004E3"/>
    <w:rsid w:val="00B0626F"/>
    <w:rsid w:val="00B3341F"/>
    <w:rsid w:val="00B33860"/>
    <w:rsid w:val="00B43D75"/>
    <w:rsid w:val="00B548A0"/>
    <w:rsid w:val="00B556A8"/>
    <w:rsid w:val="00B80C7A"/>
    <w:rsid w:val="00B936D5"/>
    <w:rsid w:val="00BB0854"/>
    <w:rsid w:val="00BC151E"/>
    <w:rsid w:val="00C13D43"/>
    <w:rsid w:val="00C45BB1"/>
    <w:rsid w:val="00C91BDA"/>
    <w:rsid w:val="00CD5D9A"/>
    <w:rsid w:val="00D2029F"/>
    <w:rsid w:val="00D74000"/>
    <w:rsid w:val="00DA171B"/>
    <w:rsid w:val="00DB297A"/>
    <w:rsid w:val="00DE3CC7"/>
    <w:rsid w:val="00E02492"/>
    <w:rsid w:val="00E1017D"/>
    <w:rsid w:val="00E11343"/>
    <w:rsid w:val="00E17ACF"/>
    <w:rsid w:val="00E26599"/>
    <w:rsid w:val="00E36DBA"/>
    <w:rsid w:val="00E46893"/>
    <w:rsid w:val="00F14129"/>
    <w:rsid w:val="00F2759D"/>
    <w:rsid w:val="00F32B38"/>
    <w:rsid w:val="00F36D19"/>
    <w:rsid w:val="00F45572"/>
    <w:rsid w:val="00F636FC"/>
    <w:rsid w:val="00F70D3B"/>
    <w:rsid w:val="00F742BC"/>
    <w:rsid w:val="00F90B68"/>
    <w:rsid w:val="00FB2AF9"/>
    <w:rsid w:val="00FB383E"/>
    <w:rsid w:val="00FE3DDB"/>
    <w:rsid w:val="0A1D5E8F"/>
    <w:rsid w:val="22DF59DA"/>
    <w:rsid w:val="316C1E60"/>
    <w:rsid w:val="4887374F"/>
    <w:rsid w:val="53A703FD"/>
    <w:rsid w:val="601E3523"/>
    <w:rsid w:val="656A4633"/>
    <w:rsid w:val="71435F41"/>
    <w:rsid w:val="7AFE2E0F"/>
    <w:rsid w:val="7F166F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qFormat="1" w:unhideWhenUsed="0"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8"/>
    <w:qFormat/>
    <w:uiPriority w:val="0"/>
    <w:pPr>
      <w:keepNext/>
      <w:numPr>
        <w:ilvl w:val="0"/>
        <w:numId w:val="1"/>
      </w:numPr>
      <w:outlineLvl w:val="0"/>
    </w:pPr>
    <w:rPr>
      <w:rFonts w:eastAsia="仿宋_GB2312"/>
      <w:b/>
      <w:bCs/>
      <w:sz w:val="32"/>
      <w:szCs w:val="32"/>
    </w:rPr>
  </w:style>
  <w:style w:type="paragraph" w:styleId="3">
    <w:name w:val="heading 2"/>
    <w:basedOn w:val="1"/>
    <w:next w:val="1"/>
    <w:link w:val="19"/>
    <w:qFormat/>
    <w:uiPriority w:val="0"/>
    <w:pPr>
      <w:keepNext/>
      <w:keepLines/>
      <w:numPr>
        <w:ilvl w:val="1"/>
        <w:numId w:val="2"/>
      </w:numPr>
      <w:outlineLvl w:val="1"/>
    </w:pPr>
    <w:rPr>
      <w:rFonts w:eastAsia="仿宋_GB2312"/>
      <w:b/>
      <w:bCs/>
      <w:sz w:val="32"/>
      <w:szCs w:val="32"/>
    </w:rPr>
  </w:style>
  <w:style w:type="paragraph" w:styleId="4">
    <w:name w:val="heading 3"/>
    <w:basedOn w:val="1"/>
    <w:next w:val="1"/>
    <w:link w:val="20"/>
    <w:qFormat/>
    <w:uiPriority w:val="0"/>
    <w:pPr>
      <w:keepNext/>
      <w:keepLines/>
      <w:numPr>
        <w:ilvl w:val="2"/>
        <w:numId w:val="2"/>
      </w:numPr>
      <w:tabs>
        <w:tab w:val="left" w:pos="1260"/>
        <w:tab w:val="clear" w:pos="0"/>
      </w:tabs>
      <w:ind w:left="1262" w:leftChars="200" w:hanging="842" w:hangingChars="262"/>
      <w:outlineLvl w:val="2"/>
    </w:pPr>
    <w:rPr>
      <w:rFonts w:eastAsia="仿宋_GB2312"/>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8"/>
    <w:semiHidden/>
    <w:unhideWhenUsed/>
    <w:qFormat/>
    <w:uiPriority w:val="99"/>
    <w:pPr>
      <w:jc w:val="left"/>
    </w:pPr>
  </w:style>
  <w:style w:type="paragraph" w:styleId="6">
    <w:name w:val="Body Text"/>
    <w:basedOn w:val="1"/>
    <w:link w:val="21"/>
    <w:qFormat/>
    <w:uiPriority w:val="0"/>
    <w:pPr>
      <w:adjustRightInd w:val="0"/>
      <w:spacing w:after="120" w:line="312" w:lineRule="atLeast"/>
      <w:textAlignment w:val="baseline"/>
    </w:pPr>
    <w:rPr>
      <w:kern w:val="0"/>
      <w:szCs w:val="20"/>
    </w:rPr>
  </w:style>
  <w:style w:type="paragraph" w:styleId="7">
    <w:name w:val="endnote text"/>
    <w:basedOn w:val="1"/>
    <w:link w:val="22"/>
    <w:semiHidden/>
    <w:qFormat/>
    <w:uiPriority w:val="0"/>
    <w:pPr>
      <w:snapToGrid w:val="0"/>
      <w:jc w:val="left"/>
    </w:pPr>
  </w:style>
  <w:style w:type="paragraph" w:styleId="8">
    <w:name w:val="Balloon Text"/>
    <w:basedOn w:val="1"/>
    <w:link w:val="27"/>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5"/>
    <w:next w:val="5"/>
    <w:link w:val="29"/>
    <w:semiHidden/>
    <w:unhideWhenUsed/>
    <w:qFormat/>
    <w:uiPriority w:val="99"/>
    <w:rPr>
      <w:b/>
      <w:bCs/>
    </w:rPr>
  </w:style>
  <w:style w:type="table" w:styleId="13">
    <w:name w:val="Table Grid"/>
    <w:basedOn w:val="12"/>
    <w:qFormat/>
    <w:uiPriority w:val="59"/>
    <w:rPr>
      <w:kern w:val="2"/>
      <w:sz w:val="21"/>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basedOn w:val="14"/>
    <w:semiHidden/>
    <w:unhideWhenUsed/>
    <w:qFormat/>
    <w:uiPriority w:val="99"/>
    <w:rPr>
      <w:sz w:val="21"/>
      <w:szCs w:val="21"/>
    </w:rPr>
  </w:style>
  <w:style w:type="character" w:customStyle="1" w:styleId="16">
    <w:name w:val="页眉 Char"/>
    <w:basedOn w:val="14"/>
    <w:link w:val="10"/>
    <w:qFormat/>
    <w:uiPriority w:val="99"/>
    <w:rPr>
      <w:sz w:val="18"/>
      <w:szCs w:val="18"/>
    </w:rPr>
  </w:style>
  <w:style w:type="character" w:customStyle="1" w:styleId="17">
    <w:name w:val="页脚 Char"/>
    <w:basedOn w:val="14"/>
    <w:link w:val="9"/>
    <w:qFormat/>
    <w:uiPriority w:val="99"/>
    <w:rPr>
      <w:sz w:val="18"/>
      <w:szCs w:val="18"/>
    </w:rPr>
  </w:style>
  <w:style w:type="character" w:customStyle="1" w:styleId="18">
    <w:name w:val="标题 1 Char"/>
    <w:basedOn w:val="14"/>
    <w:link w:val="2"/>
    <w:qFormat/>
    <w:uiPriority w:val="0"/>
    <w:rPr>
      <w:rFonts w:ascii="Times New Roman" w:hAnsi="Times New Roman" w:eastAsia="仿宋_GB2312" w:cs="Times New Roman"/>
      <w:b/>
      <w:bCs/>
      <w:sz w:val="32"/>
      <w:szCs w:val="32"/>
    </w:rPr>
  </w:style>
  <w:style w:type="character" w:customStyle="1" w:styleId="19">
    <w:name w:val="标题 2 Char"/>
    <w:basedOn w:val="14"/>
    <w:link w:val="3"/>
    <w:qFormat/>
    <w:uiPriority w:val="0"/>
    <w:rPr>
      <w:rFonts w:ascii="Times New Roman" w:hAnsi="Times New Roman" w:eastAsia="仿宋_GB2312" w:cs="Times New Roman"/>
      <w:b/>
      <w:bCs/>
      <w:sz w:val="32"/>
      <w:szCs w:val="32"/>
    </w:rPr>
  </w:style>
  <w:style w:type="character" w:customStyle="1" w:styleId="20">
    <w:name w:val="标题 3 Char"/>
    <w:basedOn w:val="14"/>
    <w:link w:val="4"/>
    <w:qFormat/>
    <w:uiPriority w:val="0"/>
    <w:rPr>
      <w:rFonts w:ascii="Times New Roman" w:hAnsi="Times New Roman" w:eastAsia="仿宋_GB2312" w:cs="Times New Roman"/>
      <w:b/>
      <w:bCs/>
      <w:sz w:val="32"/>
      <w:szCs w:val="32"/>
    </w:rPr>
  </w:style>
  <w:style w:type="character" w:customStyle="1" w:styleId="21">
    <w:name w:val="正文文本 Char"/>
    <w:basedOn w:val="14"/>
    <w:link w:val="6"/>
    <w:qFormat/>
    <w:uiPriority w:val="0"/>
    <w:rPr>
      <w:rFonts w:ascii="Times New Roman" w:hAnsi="Times New Roman" w:eastAsia="宋体" w:cs="Times New Roman"/>
      <w:kern w:val="0"/>
      <w:szCs w:val="20"/>
    </w:rPr>
  </w:style>
  <w:style w:type="character" w:customStyle="1" w:styleId="22">
    <w:name w:val="尾注文本 Char"/>
    <w:basedOn w:val="14"/>
    <w:link w:val="7"/>
    <w:semiHidden/>
    <w:qFormat/>
    <w:uiPriority w:val="0"/>
    <w:rPr>
      <w:rFonts w:ascii="Times New Roman" w:hAnsi="Times New Roman" w:eastAsia="宋体" w:cs="Times New Roman"/>
      <w:szCs w:val="24"/>
    </w:rPr>
  </w:style>
  <w:style w:type="paragraph" w:customStyle="1" w:styleId="23">
    <w:name w:val="第二层"/>
    <w:basedOn w:val="1"/>
    <w:next w:val="1"/>
    <w:qFormat/>
    <w:uiPriority w:val="0"/>
    <w:pPr>
      <w:numPr>
        <w:ilvl w:val="1"/>
        <w:numId w:val="1"/>
      </w:numPr>
      <w:snapToGrid w:val="0"/>
      <w:spacing w:line="360" w:lineRule="auto"/>
    </w:pPr>
    <w:rPr>
      <w:rFonts w:eastAsia="仿宋_GB2312"/>
      <w:bCs/>
      <w:sz w:val="28"/>
      <w:szCs w:val="28"/>
    </w:rPr>
  </w:style>
  <w:style w:type="paragraph" w:customStyle="1" w:styleId="24">
    <w:name w:val="Heading test"/>
    <w:basedOn w:val="3"/>
    <w:qFormat/>
    <w:uiPriority w:val="0"/>
    <w:pPr>
      <w:keepNext w:val="0"/>
      <w:keepLines w:val="0"/>
      <w:widowControl/>
      <w:numPr>
        <w:ilvl w:val="0"/>
        <w:numId w:val="0"/>
      </w:numPr>
      <w:tabs>
        <w:tab w:val="left" w:pos="1440"/>
      </w:tabs>
      <w:spacing w:line="360" w:lineRule="auto"/>
      <w:ind w:left="1440" w:hanging="360"/>
    </w:pPr>
    <w:rPr>
      <w:rFonts w:ascii="Dutch 801" w:hAnsi="Dutch 801" w:eastAsia="Times New Roman"/>
      <w:b w:val="0"/>
      <w:bCs w:val="0"/>
      <w:spacing w:val="-3"/>
      <w:kern w:val="0"/>
      <w:sz w:val="24"/>
      <w:szCs w:val="20"/>
      <w:lang w:val="en-GB" w:eastAsia="en-US"/>
    </w:rPr>
  </w:style>
  <w:style w:type="paragraph" w:customStyle="1" w:styleId="25">
    <w:name w:val="Para a)"/>
    <w:basedOn w:val="1"/>
    <w:qFormat/>
    <w:uiPriority w:val="0"/>
    <w:pPr>
      <w:widowControl/>
      <w:spacing w:before="240"/>
      <w:ind w:firstLine="1440"/>
      <w:jc w:val="left"/>
    </w:pPr>
    <w:rPr>
      <w:rFonts w:eastAsia="BatangChe"/>
      <w:kern w:val="0"/>
      <w:sz w:val="24"/>
      <w:szCs w:val="20"/>
      <w:lang w:eastAsia="en-US"/>
    </w:rPr>
  </w:style>
  <w:style w:type="paragraph" w:customStyle="1" w:styleId="26">
    <w:name w:val="Para 1.1"/>
    <w:basedOn w:val="1"/>
    <w:qFormat/>
    <w:uiPriority w:val="0"/>
    <w:pPr>
      <w:widowControl/>
      <w:spacing w:before="240"/>
      <w:ind w:firstLine="720"/>
      <w:jc w:val="left"/>
    </w:pPr>
    <w:rPr>
      <w:rFonts w:eastAsia="BatangChe"/>
      <w:kern w:val="0"/>
      <w:sz w:val="24"/>
      <w:szCs w:val="20"/>
      <w:lang w:eastAsia="en-US"/>
    </w:rPr>
  </w:style>
  <w:style w:type="character" w:customStyle="1" w:styleId="27">
    <w:name w:val="批注框文本 Char"/>
    <w:basedOn w:val="14"/>
    <w:link w:val="8"/>
    <w:semiHidden/>
    <w:qFormat/>
    <w:uiPriority w:val="99"/>
    <w:rPr>
      <w:rFonts w:ascii="Times New Roman" w:hAnsi="Times New Roman" w:eastAsia="宋体" w:cs="Times New Roman"/>
      <w:sz w:val="18"/>
      <w:szCs w:val="18"/>
    </w:rPr>
  </w:style>
  <w:style w:type="character" w:customStyle="1" w:styleId="28">
    <w:name w:val="批注文字 Char"/>
    <w:basedOn w:val="14"/>
    <w:link w:val="5"/>
    <w:semiHidden/>
    <w:qFormat/>
    <w:uiPriority w:val="99"/>
    <w:rPr>
      <w:rFonts w:ascii="Times New Roman" w:hAnsi="Times New Roman" w:eastAsia="宋体" w:cs="Times New Roman"/>
      <w:szCs w:val="24"/>
    </w:rPr>
  </w:style>
  <w:style w:type="character" w:customStyle="1" w:styleId="29">
    <w:name w:val="批注主题 Char"/>
    <w:basedOn w:val="28"/>
    <w:link w:val="11"/>
    <w:semiHidden/>
    <w:qFormat/>
    <w:uiPriority w:val="99"/>
    <w:rPr>
      <w:rFonts w:ascii="Times New Roman" w:hAnsi="Times New Roman" w:eastAsia="宋体" w:cs="Times New Roman"/>
      <w:b/>
      <w:bCs/>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949</Words>
  <Characters>5415</Characters>
  <Lines>45</Lines>
  <Paragraphs>12</Paragraphs>
  <TotalTime>0</TotalTime>
  <ScaleCrop>false</ScaleCrop>
  <LinksUpToDate>false</LinksUpToDate>
  <CharactersWithSpaces>6352</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2023-08-23T06:37:00Z</dcterms:created>
  <dc:creator>王薇</dc:creator>
  <cp:lastModifiedBy>张震</cp:lastModifiedBy>
  <dcterms:modified xsi:type="dcterms:W3CDTF">2026-09-17T02:15:45Z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4893495FE4854A16A8E76D7F659F6406_13</vt:lpwstr>
  </property>
</Properties>
</file>