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20" w:lineRule="exact"/>
        <w:jc w:val="center"/>
        <w:rPr>
          <w:rFonts w:ascii="楷体_GB2312" w:hAnsi="宋体" w:eastAsia="楷体_GB2312" w:cs="华文楷体"/>
          <w:b/>
          <w:kern w:val="0"/>
          <w:sz w:val="30"/>
          <w:szCs w:val="30"/>
        </w:rPr>
      </w:pPr>
      <w:r>
        <w:rPr>
          <w:rFonts w:hint="eastAsia" w:ascii="楷体_GB2312" w:hAnsi="宋体" w:eastAsia="楷体_GB2312" w:cs="华文楷体"/>
          <w:b/>
          <w:kern w:val="0"/>
          <w:sz w:val="30"/>
          <w:szCs w:val="30"/>
        </w:rPr>
        <w:t>中国东方资产管理股份</w:t>
      </w:r>
      <w:r>
        <w:rPr>
          <w:rFonts w:ascii="楷体_GB2312" w:hAnsi="宋体" w:eastAsia="楷体_GB2312" w:cs="华文楷体"/>
          <w:b/>
          <w:kern w:val="0"/>
          <w:sz w:val="30"/>
          <w:szCs w:val="30"/>
        </w:rPr>
        <w:t>有限</w:t>
      </w:r>
      <w:r>
        <w:rPr>
          <w:rFonts w:hint="eastAsia" w:ascii="楷体_GB2312" w:hAnsi="宋体" w:eastAsia="楷体_GB2312" w:cs="华文楷体"/>
          <w:b/>
          <w:kern w:val="0"/>
          <w:sz w:val="30"/>
          <w:szCs w:val="30"/>
        </w:rPr>
        <w:t>公司</w:t>
      </w:r>
      <w:r>
        <w:rPr>
          <w:rFonts w:hint="eastAsia" w:ascii="楷体_GB2312" w:hAnsi="宋体" w:eastAsia="楷体_GB2312" w:cs="华文楷体"/>
          <w:b/>
          <w:kern w:val="0"/>
          <w:sz w:val="30"/>
          <w:szCs w:val="30"/>
          <w:lang w:eastAsia="zh-CN"/>
        </w:rPr>
        <w:t>广西壮族自治区</w:t>
      </w:r>
      <w:r>
        <w:rPr>
          <w:rFonts w:ascii="楷体_GB2312" w:hAnsi="宋体" w:eastAsia="楷体_GB2312" w:cs="华文楷体"/>
          <w:b/>
          <w:kern w:val="0"/>
          <w:sz w:val="30"/>
          <w:szCs w:val="30"/>
        </w:rPr>
        <w:t>分公司</w:t>
      </w:r>
    </w:p>
    <w:p>
      <w:pPr>
        <w:autoSpaceDE w:val="0"/>
        <w:autoSpaceDN w:val="0"/>
        <w:adjustRightInd w:val="0"/>
        <w:snapToGrid w:val="0"/>
        <w:spacing w:line="320" w:lineRule="exact"/>
        <w:jc w:val="center"/>
        <w:rPr>
          <w:rFonts w:ascii="楷体_GB2312" w:hAnsi="宋体" w:eastAsia="楷体_GB2312" w:cs="华文楷体"/>
          <w:b/>
          <w:kern w:val="0"/>
          <w:sz w:val="30"/>
          <w:szCs w:val="30"/>
        </w:rPr>
      </w:pPr>
      <w:r>
        <w:rPr>
          <w:rFonts w:hint="eastAsia" w:ascii="楷体_GB2312" w:hAnsi="宋体" w:eastAsia="楷体_GB2312" w:cs="华文楷体"/>
          <w:b/>
          <w:kern w:val="0"/>
          <w:sz w:val="30"/>
          <w:szCs w:val="30"/>
        </w:rPr>
        <w:t>公开处置广西利海房地产开发有限公司债权、抵债资产及其附属权益公告</w:t>
      </w:r>
    </w:p>
    <w:p>
      <w:pPr>
        <w:autoSpaceDE w:val="0"/>
        <w:autoSpaceDN w:val="0"/>
        <w:adjustRightInd w:val="0"/>
        <w:snapToGrid w:val="0"/>
        <w:spacing w:line="320" w:lineRule="exact"/>
        <w:jc w:val="center"/>
        <w:rPr>
          <w:rFonts w:ascii="楷体_GB2312" w:hAnsi="宋体" w:eastAsia="楷体_GB2312" w:cs="华文楷体"/>
          <w:b/>
          <w:kern w:val="0"/>
          <w:sz w:val="24"/>
        </w:rPr>
      </w:pPr>
    </w:p>
    <w:p>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中国东方资产管理股份有限公司</w:t>
      </w:r>
      <w:r>
        <w:rPr>
          <w:rFonts w:hint="eastAsia" w:ascii="楷体_GB2312" w:hAnsi="宋体" w:eastAsia="楷体_GB2312"/>
          <w:sz w:val="24"/>
          <w:lang w:eastAsia="zh-CN"/>
        </w:rPr>
        <w:t>广西壮族自治区</w:t>
      </w:r>
      <w:r>
        <w:rPr>
          <w:rFonts w:hint="eastAsia" w:ascii="楷体_GB2312" w:hAnsi="宋体" w:eastAsia="楷体_GB2312"/>
          <w:sz w:val="24"/>
        </w:rPr>
        <w:t>分公司（以下称为“东方”）拟公开处置以下资产（以下称为“标的资产”，或根据上下文需要，系指任何单项标的资产）：</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6" w:line="360" w:lineRule="exact"/>
        <w:ind w:firstLine="480" w:firstLineChars="200"/>
        <w:textAlignment w:val="auto"/>
        <w:rPr>
          <w:rFonts w:hint="default" w:ascii="Times New Roman" w:hAnsi="Times New Roman" w:eastAsia="楷体_GB2312" w:cs="Times New Roman"/>
          <w:sz w:val="24"/>
        </w:rPr>
      </w:pPr>
      <w:r>
        <w:rPr>
          <w:rFonts w:hint="eastAsia" w:ascii="楷体_GB2312" w:hAnsi="宋体" w:eastAsia="楷体_GB2312"/>
          <w:sz w:val="24"/>
          <w:lang w:eastAsia="zh-CN"/>
        </w:rPr>
        <w:t>（</w:t>
      </w:r>
      <w:r>
        <w:rPr>
          <w:rFonts w:hint="default" w:ascii="Times New Roman" w:hAnsi="Times New Roman" w:eastAsia="楷体_GB2312" w:cs="Times New Roman"/>
          <w:sz w:val="24"/>
          <w:lang w:val="en-US" w:eastAsia="zh-CN"/>
        </w:rPr>
        <w:t>1</w:t>
      </w: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rPr>
        <w:t>对</w:t>
      </w:r>
      <w:r>
        <w:rPr>
          <w:rFonts w:hint="default" w:ascii="Times New Roman" w:hAnsi="Times New Roman" w:eastAsia="楷体_GB2312" w:cs="Times New Roman"/>
          <w:sz w:val="24"/>
          <w:lang w:eastAsia="zh-CN"/>
        </w:rPr>
        <w:t>债务人</w:t>
      </w:r>
      <w:r>
        <w:rPr>
          <w:rFonts w:hint="default" w:ascii="Times New Roman" w:hAnsi="Times New Roman" w:eastAsia="楷体_GB2312" w:cs="Times New Roman"/>
          <w:sz w:val="24"/>
        </w:rPr>
        <w:t>广西利海房地产开发有限公司</w:t>
      </w:r>
      <w:r>
        <w:rPr>
          <w:rFonts w:hint="default" w:ascii="Times New Roman" w:hAnsi="Times New Roman" w:eastAsia="楷体_GB2312" w:cs="Times New Roman"/>
          <w:sz w:val="24"/>
          <w:lang w:eastAsia="zh-CN"/>
        </w:rPr>
        <w:t>及共同债务人广东利海集团有限公司</w:t>
      </w:r>
      <w:r>
        <w:rPr>
          <w:rFonts w:hint="default" w:ascii="Times New Roman" w:hAnsi="Times New Roman" w:eastAsia="楷体_GB2312" w:cs="Times New Roman"/>
          <w:sz w:val="24"/>
        </w:rPr>
        <w:t>所享有的债权及其附属担保权益，该等债权及其附属担保权益的所有人为东方</w:t>
      </w: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rPr>
        <w:t>截至</w:t>
      </w:r>
      <w:r>
        <w:rPr>
          <w:rFonts w:hint="default" w:ascii="Times New Roman" w:hAnsi="Times New Roman" w:eastAsia="楷体_GB2312" w:cs="Times New Roman"/>
          <w:sz w:val="24"/>
          <w:lang w:val="en-US" w:eastAsia="zh-CN"/>
        </w:rPr>
        <w:t>2024年4月30日</w:t>
      </w:r>
      <w:r>
        <w:rPr>
          <w:rFonts w:hint="default" w:ascii="Times New Roman" w:hAnsi="Times New Roman" w:eastAsia="楷体_GB2312" w:cs="Times New Roman"/>
          <w:sz w:val="24"/>
        </w:rPr>
        <w:t>，该等债权项下未偿本息合计人民币2,190,821,943.22元，其中未偿本金人民币1,211,432,147.69元，未偿利息人民币579,010,725.17元</w:t>
      </w:r>
      <w:r>
        <w:rPr>
          <w:rFonts w:hint="default" w:ascii="Times New Roman" w:hAnsi="Times New Roman" w:eastAsia="楷体_GB2312" w:cs="Times New Roman"/>
          <w:sz w:val="24"/>
          <w:lang w:eastAsia="zh-CN"/>
        </w:rPr>
        <w:t>，未偿延迟履行加倍利息人民币400,379,070.36元。</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6" w:line="360" w:lineRule="exact"/>
        <w:ind w:firstLine="480" w:firstLineChars="200"/>
        <w:textAlignment w:val="auto"/>
        <w:rPr>
          <w:rFonts w:hint="default" w:ascii="Times New Roman" w:hAnsi="Times New Roman" w:eastAsia="楷体_GB2312" w:cs="Times New Roman"/>
          <w:sz w:val="24"/>
        </w:rPr>
      </w:pP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lang w:val="en-US" w:eastAsia="zh-CN"/>
        </w:rPr>
        <w:t>2</w:t>
      </w: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rPr>
        <w:t>抵债资产以及相关权利和权益</w:t>
      </w:r>
      <w:r>
        <w:rPr>
          <w:rFonts w:hint="default" w:ascii="Times New Roman" w:hAnsi="Times New Roman" w:eastAsia="楷体_GB2312" w:cs="Times New Roman"/>
          <w:sz w:val="24"/>
          <w:lang w:eastAsia="zh-CN"/>
        </w:rPr>
        <w:t>：位于广西南宁青秀区中柬路9号的南宁利海亚洲国际商业裙楼87,353.89平方米不动产（在建工程）所有权人为东方，东方通过司法以物抵债方式取得该抵债资产，抵债金额1,080,108,960.00元，资产现状为空置状态。</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标的资产具体情况详见附件。</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特别提示：标的资产信息仅供投资者参考。就标的资产项下各笔债权及其附属担保权益的合法有效性及时效，抵债资产及相关权利和权益的现状、价值，以及债务人、担保人现状等，请投资者自行调查及判断，东方对此不作任何保证。</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标的资产的意向投资者须为具有相应购买能力的、在中国境内或境外依法注册并存续的公司、企业或其他经济组织或自然人。</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投资人不得为</w:t>
      </w:r>
      <w:r>
        <w:rPr>
          <w:rFonts w:hint="eastAsia" w:eastAsia="楷体_GB2312" w:cs="Times New Roman"/>
          <w:sz w:val="24"/>
          <w:lang w:eastAsia="zh-CN"/>
        </w:rPr>
        <w:t>：</w:t>
      </w:r>
      <w:r>
        <w:rPr>
          <w:rFonts w:hint="default" w:ascii="Times New Roman" w:hAnsi="Times New Roman" w:eastAsia="楷体_GB2312" w:cs="Times New Roman"/>
          <w:sz w:val="24"/>
        </w:rPr>
        <w:t>(1)国家公务员、金融资产管理公司工作人员、该项资产处置工作相关中介机构所属人员，及上述人员出资成立的法人机构或特殊目的实体、参与的非金融机构法人； (2)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不宜受让的主体。</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如投资者有意向了解有关标的资产的情况、注册程序、交易时间表等详情，请登陆中国东方资产管理股份有限公司</w:t>
      </w:r>
      <w:r>
        <w:rPr>
          <w:rFonts w:hint="default" w:ascii="Times New Roman" w:hAnsi="Times New Roman" w:eastAsia="楷体_GB2312" w:cs="Times New Roman"/>
          <w:sz w:val="24"/>
          <w:lang w:eastAsia="zh-CN"/>
        </w:rPr>
        <w:t>营销</w:t>
      </w:r>
      <w:r>
        <w:rPr>
          <w:rFonts w:hint="default" w:ascii="Times New Roman" w:hAnsi="Times New Roman" w:eastAsia="楷体_GB2312" w:cs="Times New Roman"/>
          <w:sz w:val="24"/>
        </w:rPr>
        <w:t>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"http://www.coamc.com.cn" </w:instrText>
      </w:r>
      <w:r>
        <w:rPr>
          <w:rFonts w:hint="default" w:ascii="Times New Roman" w:hAnsi="Times New Roman" w:cs="Times New Roman"/>
          <w:highlight w:val="none"/>
        </w:rPr>
        <w:fldChar w:fldCharType="separate"/>
      </w:r>
      <w:r>
        <w:rPr>
          <w:rStyle w:val="12"/>
          <w:rFonts w:hint="default" w:ascii="Times New Roman" w:hAnsi="Times New Roman" w:eastAsia="楷体_GB2312" w:cs="Times New Roman"/>
          <w:color w:val="auto"/>
          <w:sz w:val="24"/>
          <w:highlight w:val="none"/>
          <w:u w:val="none"/>
          <w:lang w:val="en-US" w:eastAsia="zh-CN"/>
        </w:rPr>
        <w:t>sales</w:t>
      </w:r>
      <w:r>
        <w:rPr>
          <w:rStyle w:val="12"/>
          <w:rFonts w:hint="default" w:ascii="Times New Roman" w:hAnsi="Times New Roman" w:eastAsia="楷体_GB2312" w:cs="Times New Roman"/>
          <w:color w:val="auto"/>
          <w:sz w:val="24"/>
          <w:highlight w:val="none"/>
          <w:u w:val="none"/>
        </w:rPr>
        <w:t>.coamc.com.cn</w:t>
      </w:r>
      <w:r>
        <w:rPr>
          <w:rStyle w:val="12"/>
          <w:rFonts w:hint="default" w:ascii="Times New Roman" w:hAnsi="Times New Roman" w:eastAsia="楷体_GB2312" w:cs="Times New Roman"/>
          <w:color w:val="auto"/>
          <w:sz w:val="24"/>
          <w:highlight w:val="none"/>
          <w:u w:val="none"/>
        </w:rPr>
        <w:fldChar w:fldCharType="end"/>
      </w:r>
      <w:r>
        <w:rPr>
          <w:rFonts w:hint="default" w:ascii="Times New Roman" w:hAnsi="Times New Roman" w:eastAsia="楷体_GB2312" w:cs="Times New Roman"/>
          <w:sz w:val="24"/>
        </w:rPr>
        <w:t>。</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为严格防范交易各方及其关联人士的道德风险，防止不正当交易，防范项目操作风险，非经合作对方同意，任何一方不得擅自通过任何中介（包括任何自然人、法人或其他组织）安排、实施本项目合作事宜。</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交易双方不得以任何理由向对方及其工作人员、相关组织机构及其工作人员及前述组织和个人的关联方进行商业贿赂、馈赠钱物（现金、有价证券、信用卡、礼金、奖金、补贴、物品等）或进行其他任何形式的利益输送。</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任何一方在项目运作过程中发现对方存在上述行为，有权提醒对方相关人士立即纠正，经制止拒不纠正的，应告知对方及时采取相应的法律行动。</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有受让意向者请速与我分公司联系商洽。任何对标的资产处置交易持有异议者均可提出意见和/或异议。欢迎社会各界向东方提供债务人及担保人的资产线索和其它相关情况。征询或异议的有效期限为自发布之日起</w:t>
      </w:r>
      <w:r>
        <w:rPr>
          <w:rFonts w:hint="default" w:ascii="Times New Roman" w:hAnsi="Times New Roman" w:eastAsia="楷体_GB2312" w:cs="Times New Roman"/>
          <w:sz w:val="24"/>
          <w:lang w:val="en-US" w:eastAsia="zh-CN"/>
        </w:rPr>
        <w:t>7</w:t>
      </w:r>
      <w:r>
        <w:rPr>
          <w:rFonts w:hint="default" w:ascii="Times New Roman" w:hAnsi="Times New Roman" w:eastAsia="楷体_GB2312" w:cs="Times New Roman"/>
          <w:sz w:val="24"/>
        </w:rPr>
        <w:t>个工作日。</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标的资产处置交易的联系人如下：</w:t>
      </w:r>
    </w:p>
    <w:p>
      <w:pPr>
        <w:tabs>
          <w:tab w:val="left" w:pos="8700"/>
        </w:tabs>
        <w:spacing w:line="360" w:lineRule="exact"/>
        <w:ind w:left="1200"/>
        <w:rPr>
          <w:rFonts w:hint="default" w:ascii="Times New Roman" w:hAnsi="Times New Roman" w:eastAsia="楷体_GB2312" w:cs="Times New Roman"/>
          <w:sz w:val="24"/>
        </w:rPr>
      </w:pPr>
    </w:p>
    <w:p>
      <w:pPr>
        <w:numPr>
          <w:ilvl w:val="0"/>
          <w:numId w:val="0"/>
        </w:numPr>
        <w:tabs>
          <w:tab w:val="left" w:pos="1080"/>
          <w:tab w:val="left" w:pos="8700"/>
        </w:tabs>
        <w:spacing w:line="360" w:lineRule="exact"/>
        <w:ind w:left="480" w:leftChars="0" w:firstLine="578" w:firstLineChars="241"/>
        <w:rPr>
          <w:rFonts w:hint="default" w:ascii="Times New Roman" w:hAnsi="Times New Roman" w:eastAsia="楷体_GB2312" w:cs="Times New Roman"/>
          <w:sz w:val="24"/>
          <w:lang w:eastAsia="zh-CN"/>
        </w:rPr>
      </w:pPr>
      <w:r>
        <w:rPr>
          <w:rFonts w:hint="default" w:ascii="Times New Roman" w:hAnsi="Times New Roman" w:eastAsia="楷体_GB2312" w:cs="Times New Roman"/>
          <w:sz w:val="24"/>
        </w:rPr>
        <w:t>联系人：</w:t>
      </w:r>
      <w:r>
        <w:rPr>
          <w:rFonts w:hint="default" w:ascii="Times New Roman" w:hAnsi="Times New Roman" w:eastAsia="楷体_GB2312" w:cs="Times New Roman"/>
          <w:sz w:val="24"/>
          <w:lang w:eastAsia="zh-CN"/>
        </w:rPr>
        <w:t>武先生</w:t>
      </w:r>
    </w:p>
    <w:p>
      <w:pPr>
        <w:tabs>
          <w:tab w:val="left" w:pos="8700"/>
        </w:tabs>
        <w:spacing w:line="360" w:lineRule="exact"/>
        <w:ind w:left="1080"/>
        <w:rPr>
          <w:rFonts w:hint="default" w:ascii="Times New Roman" w:hAnsi="Times New Roman" w:eastAsia="楷体_GB2312" w:cs="Times New Roman"/>
          <w:sz w:val="24"/>
          <w:lang w:val="en-US" w:eastAsia="zh-CN"/>
        </w:rPr>
      </w:pPr>
      <w:r>
        <w:rPr>
          <w:rFonts w:hint="default" w:ascii="Times New Roman" w:hAnsi="Times New Roman" w:eastAsia="楷体_GB2312" w:cs="Times New Roman"/>
          <w:sz w:val="24"/>
        </w:rPr>
        <w:t>电话：</w:t>
      </w:r>
      <w:r>
        <w:rPr>
          <w:rFonts w:hint="default" w:ascii="Times New Roman" w:hAnsi="Times New Roman" w:eastAsia="楷体_GB2312" w:cs="Times New Roman"/>
          <w:sz w:val="24"/>
          <w:lang w:val="en-US" w:eastAsia="zh-CN"/>
        </w:rPr>
        <w:t>0771-2855625</w:t>
      </w:r>
    </w:p>
    <w:p>
      <w:pPr>
        <w:tabs>
          <w:tab w:val="left" w:pos="8700"/>
        </w:tabs>
        <w:spacing w:line="360" w:lineRule="exact"/>
        <w:ind w:left="1080"/>
        <w:rPr>
          <w:rFonts w:hint="default" w:ascii="Times New Roman" w:hAnsi="Times New Roman" w:eastAsia="楷体_GB2312" w:cs="Times New Roman"/>
          <w:sz w:val="24"/>
        </w:rPr>
      </w:pPr>
      <w:r>
        <w:rPr>
          <w:rFonts w:hint="default" w:ascii="Times New Roman" w:hAnsi="Times New Roman" w:eastAsia="楷体_GB2312" w:cs="Times New Roman"/>
          <w:sz w:val="24"/>
        </w:rPr>
        <w:t>邮件地址：wudaokang@coamc.com.cn</w:t>
      </w:r>
    </w:p>
    <w:p>
      <w:pPr>
        <w:tabs>
          <w:tab w:val="left" w:pos="8700"/>
        </w:tabs>
        <w:spacing w:line="360" w:lineRule="exact"/>
        <w:ind w:left="1080"/>
        <w:rPr>
          <w:rFonts w:hint="default" w:ascii="Times New Roman" w:hAnsi="Times New Roman" w:eastAsia="楷体_GB2312" w:cs="Times New Roman"/>
          <w:sz w:val="24"/>
        </w:rPr>
      </w:pPr>
      <w:r>
        <w:rPr>
          <w:rFonts w:hint="default" w:ascii="Times New Roman" w:hAnsi="Times New Roman" w:eastAsia="楷体_GB2312" w:cs="Times New Roman"/>
          <w:sz w:val="24"/>
        </w:rPr>
        <w:t>地址：广西壮族自治区南宁市青秀区古城路39号香江花园4号楼24层</w:t>
      </w:r>
    </w:p>
    <w:p>
      <w:pPr>
        <w:tabs>
          <w:tab w:val="left" w:pos="8700"/>
        </w:tabs>
        <w:spacing w:line="360" w:lineRule="exact"/>
        <w:ind w:firstLine="1080" w:firstLineChars="450"/>
        <w:rPr>
          <w:rFonts w:hint="default" w:ascii="Times New Roman" w:hAnsi="Times New Roman" w:eastAsia="楷体_GB2312" w:cs="Times New Roman"/>
          <w:sz w:val="24"/>
        </w:rPr>
      </w:pPr>
      <w:r>
        <w:rPr>
          <w:rFonts w:hint="default" w:ascii="Times New Roman" w:hAnsi="Times New Roman" w:eastAsia="楷体_GB2312" w:cs="Times New Roman"/>
          <w:sz w:val="24"/>
        </w:rPr>
        <w:tab/>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对排斥、阻挠异议或征询的行为可向有关部门举报。</w:t>
      </w: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举报电话：010-66507226（中国东方资产管理股份有限公司纪委办公室）</w:t>
      </w:r>
    </w:p>
    <w:p>
      <w:pPr>
        <w:spacing w:before="240" w:line="360" w:lineRule="exact"/>
        <w:ind w:left="0" w:leftChars="0" w:firstLine="1680" w:firstLineChars="700"/>
        <w:rPr>
          <w:rFonts w:hint="default" w:ascii="Times New Roman" w:hAnsi="Times New Roman" w:eastAsia="楷体_GB2312" w:cs="Times New Roman"/>
          <w:sz w:val="24"/>
        </w:rPr>
      </w:pPr>
      <w:r>
        <w:rPr>
          <w:rFonts w:hint="default" w:ascii="Times New Roman" w:hAnsi="Times New Roman" w:eastAsia="楷体_GB2312" w:cs="Times New Roman"/>
          <w:sz w:val="24"/>
        </w:rPr>
        <w:t>0771-2860335（中国东方资产管理股份有限公司</w:t>
      </w:r>
      <w:r>
        <w:rPr>
          <w:rFonts w:hint="default" w:ascii="Times New Roman" w:hAnsi="Times New Roman" w:eastAsia="楷体_GB2312" w:cs="Times New Roman"/>
          <w:sz w:val="24"/>
          <w:lang w:eastAsia="zh-CN"/>
        </w:rPr>
        <w:t>广西壮族自治区</w:t>
      </w:r>
      <w:r>
        <w:rPr>
          <w:rFonts w:hint="default" w:ascii="Times New Roman" w:hAnsi="Times New Roman" w:eastAsia="楷体_GB2312" w:cs="Times New Roman"/>
          <w:sz w:val="24"/>
        </w:rPr>
        <w:t>分公司纪检部门）</w:t>
      </w:r>
    </w:p>
    <w:p>
      <w:pPr>
        <w:spacing w:line="360" w:lineRule="exact"/>
        <w:ind w:firstLine="2160" w:firstLineChars="900"/>
        <w:rPr>
          <w:rFonts w:hint="default" w:ascii="Times New Roman" w:hAnsi="Times New Roman" w:eastAsia="楷体_GB2312" w:cs="Times New Roman"/>
          <w:sz w:val="24"/>
        </w:rPr>
      </w:pPr>
    </w:p>
    <w:p>
      <w:pPr>
        <w:spacing w:before="240" w:line="360" w:lineRule="exact"/>
        <w:ind w:firstLine="480" w:firstLineChars="200"/>
        <w:rPr>
          <w:rFonts w:hint="default" w:ascii="Times New Roman" w:hAnsi="Times New Roman" w:eastAsia="楷体_GB2312" w:cs="Times New Roman"/>
          <w:sz w:val="24"/>
        </w:rPr>
      </w:pPr>
      <w:r>
        <w:rPr>
          <w:rFonts w:hint="default" w:ascii="Times New Roman" w:hAnsi="Times New Roman" w:eastAsia="楷体_GB2312" w:cs="Times New Roman"/>
          <w:sz w:val="24"/>
        </w:rPr>
        <w:t>本公告不构成一项要约。本公告有效期限自公告之日起</w:t>
      </w:r>
      <w:r>
        <w:rPr>
          <w:rFonts w:hint="default" w:ascii="Times New Roman" w:hAnsi="Times New Roman" w:eastAsia="楷体_GB2312" w:cs="Times New Roman"/>
          <w:sz w:val="24"/>
          <w:lang w:eastAsia="zh-CN"/>
        </w:rPr>
        <w:t>一年</w:t>
      </w:r>
      <w:r>
        <w:rPr>
          <w:rFonts w:hint="default" w:ascii="Times New Roman" w:hAnsi="Times New Roman" w:eastAsia="楷体_GB2312" w:cs="Times New Roman"/>
          <w:sz w:val="24"/>
        </w:rPr>
        <w:t>。</w:t>
      </w:r>
    </w:p>
    <w:p>
      <w:pPr>
        <w:spacing w:before="240" w:line="360" w:lineRule="exact"/>
        <w:ind w:firstLine="480" w:firstLineChars="200"/>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特此公告。</w:t>
      </w:r>
    </w:p>
    <w:p>
      <w:pPr>
        <w:spacing w:before="240" w:line="360" w:lineRule="exact"/>
        <w:ind w:firstLine="482" w:firstLineChars="200"/>
        <w:jc w:val="right"/>
        <w:rPr>
          <w:rFonts w:ascii="楷体_GB2312" w:hAnsi="宋体" w:eastAsia="楷体_GB2312"/>
          <w:b/>
          <w:sz w:val="24"/>
        </w:rPr>
      </w:pPr>
      <w:r>
        <w:rPr>
          <w:rFonts w:hint="eastAsia" w:ascii="楷体_GB2312" w:hAnsi="宋体" w:eastAsia="楷体_GB2312"/>
          <w:b/>
          <w:sz w:val="24"/>
        </w:rPr>
        <w:t>中国东方资产管理股份有限公司</w:t>
      </w:r>
      <w:r>
        <w:rPr>
          <w:rFonts w:hint="eastAsia" w:ascii="楷体_GB2312" w:hAnsi="宋体" w:eastAsia="楷体_GB2312"/>
          <w:b/>
          <w:sz w:val="24"/>
          <w:lang w:eastAsia="zh-CN"/>
        </w:rPr>
        <w:t>广西壮族自治区</w:t>
      </w:r>
      <w:r>
        <w:rPr>
          <w:rFonts w:ascii="楷体_GB2312" w:hAnsi="宋体" w:eastAsia="楷体_GB2312"/>
          <w:b/>
          <w:sz w:val="24"/>
        </w:rPr>
        <w:t>分公司</w:t>
      </w:r>
    </w:p>
    <w:p>
      <w:pPr>
        <w:wordWrap w:val="0"/>
        <w:spacing w:before="120" w:line="360" w:lineRule="exact"/>
        <w:ind w:firstLine="482" w:firstLineChars="200"/>
        <w:jc w:val="right"/>
        <w:rPr>
          <w:rFonts w:ascii="楷体_GB2312" w:hAnsi="宋体" w:eastAsia="楷体_GB2312"/>
          <w:b/>
          <w:sz w:val="24"/>
        </w:rPr>
      </w:pPr>
      <w:r>
        <w:rPr>
          <w:rFonts w:hint="eastAsia" w:ascii="楷体_GB2312" w:hAnsi="宋体" w:eastAsia="楷体_GB2312"/>
          <w:b/>
          <w:sz w:val="24"/>
        </w:rPr>
        <w:t>二〇</w:t>
      </w:r>
      <w:r>
        <w:rPr>
          <w:rFonts w:hint="eastAsia" w:ascii="楷体_GB2312" w:hAnsi="宋体" w:eastAsia="楷体_GB2312"/>
          <w:b/>
          <w:sz w:val="24"/>
          <w:lang w:eastAsia="zh-CN"/>
        </w:rPr>
        <w:t>二五</w:t>
      </w:r>
      <w:r>
        <w:rPr>
          <w:rFonts w:hint="eastAsia" w:ascii="楷体_GB2312" w:hAnsi="宋体" w:eastAsia="楷体_GB2312"/>
          <w:b/>
          <w:sz w:val="24"/>
        </w:rPr>
        <w:t>年</w:t>
      </w:r>
      <w:r>
        <w:rPr>
          <w:rFonts w:hint="eastAsia" w:ascii="楷体_GB2312" w:hAnsi="宋体" w:eastAsia="楷体_GB2312"/>
          <w:b/>
          <w:sz w:val="24"/>
          <w:lang w:eastAsia="zh-CN"/>
        </w:rPr>
        <w:t>七</w:t>
      </w:r>
      <w:r>
        <w:rPr>
          <w:rFonts w:hint="eastAsia" w:ascii="楷体_GB2312" w:hAnsi="宋体" w:eastAsia="楷体_GB2312"/>
          <w:b/>
          <w:sz w:val="24"/>
        </w:rPr>
        <w:t>月</w:t>
      </w:r>
      <w:r>
        <w:rPr>
          <w:rFonts w:hint="eastAsia" w:ascii="楷体_GB2312" w:hAnsi="宋体" w:eastAsia="楷体_GB2312"/>
          <w:b/>
          <w:sz w:val="24"/>
          <w:lang w:eastAsia="zh-CN"/>
        </w:rPr>
        <w:t>十八</w:t>
      </w:r>
      <w:r>
        <w:rPr>
          <w:rFonts w:hint="eastAsia" w:ascii="楷体_GB2312" w:hAnsi="宋体" w:eastAsia="楷体_GB2312"/>
          <w:b/>
          <w:sz w:val="24"/>
        </w:rPr>
        <w:t>日</w:t>
      </w:r>
    </w:p>
    <w:p>
      <w:pPr>
        <w:spacing w:before="120" w:line="360" w:lineRule="exact"/>
        <w:ind w:firstLine="482" w:firstLineChars="200"/>
        <w:jc w:val="right"/>
        <w:rPr>
          <w:rFonts w:ascii="楷体_GB2312" w:hAnsi="宋体" w:eastAsia="楷体_GB2312"/>
          <w:b/>
          <w:sz w:val="24"/>
        </w:rPr>
      </w:pPr>
    </w:p>
    <w:p>
      <w:pPr>
        <w:spacing w:before="120" w:line="360" w:lineRule="exact"/>
        <w:ind w:firstLine="482" w:firstLineChars="200"/>
        <w:jc w:val="right"/>
        <w:rPr>
          <w:rFonts w:ascii="楷体_GB2312" w:hAnsi="宋体" w:eastAsia="楷体_GB2312"/>
          <w:b/>
          <w:sz w:val="24"/>
        </w:rPr>
      </w:pPr>
    </w:p>
    <w:p>
      <w:pPr>
        <w:widowControl/>
        <w:jc w:val="left"/>
        <w:rPr>
          <w:rFonts w:ascii="楷体_GB2312" w:hAnsi="宋体" w:eastAsia="楷体_GB2312"/>
          <w:b/>
          <w:sz w:val="24"/>
        </w:rPr>
        <w:sectPr>
          <w:footerReference r:id="rId3" w:type="default"/>
          <w:footerReference r:id="rId4" w:type="even"/>
          <w:pgSz w:w="11906" w:h="16838"/>
          <w:pgMar w:top="1304" w:right="1106" w:bottom="1304" w:left="1304" w:header="851" w:footer="992" w:gutter="0"/>
          <w:cols w:space="425" w:num="1"/>
          <w:docGrid w:type="lines" w:linePitch="312" w:charSpace="0"/>
        </w:sectPr>
      </w:pPr>
      <w:bookmarkStart w:id="0" w:name="_Toc479296824"/>
      <w:bookmarkStart w:id="1" w:name="_Toc467844824"/>
      <w:bookmarkStart w:id="2" w:name="_Toc495597280"/>
      <w:bookmarkStart w:id="3" w:name="_Toc492025749"/>
      <w:bookmarkStart w:id="4" w:name="_Toc495656879"/>
      <w:r>
        <w:rPr>
          <w:rFonts w:ascii="楷体_GB2312" w:hAnsi="宋体" w:eastAsia="楷体_GB2312"/>
          <w:b/>
          <w:sz w:val="24"/>
        </w:rPr>
        <w:br w:type="page"/>
      </w:r>
    </w:p>
    <w:p>
      <w:pPr>
        <w:autoSpaceDE w:val="0"/>
        <w:autoSpaceDN w:val="0"/>
        <w:adjustRightInd w:val="0"/>
        <w:spacing w:after="312" w:afterLines="100" w:line="300" w:lineRule="auto"/>
        <w:outlineLvl w:val="0"/>
        <w:rPr>
          <w:rFonts w:ascii="楷体_GB2312" w:hAnsi="宋体" w:eastAsia="楷体_GB2312"/>
          <w:b/>
          <w:sz w:val="24"/>
        </w:rPr>
      </w:pPr>
      <w:r>
        <w:rPr>
          <w:rFonts w:ascii="楷体_GB2312" w:hAnsi="宋体" w:eastAsia="楷体_GB2312"/>
          <w:b/>
          <w:sz w:val="24"/>
        </w:rPr>
        <w:t xml:space="preserve">附件   </w:t>
      </w:r>
      <w:bookmarkEnd w:id="0"/>
      <w:bookmarkEnd w:id="1"/>
      <w:bookmarkEnd w:id="2"/>
      <w:bookmarkEnd w:id="3"/>
      <w:bookmarkEnd w:id="4"/>
      <w:r>
        <w:rPr>
          <w:rFonts w:hint="eastAsia" w:ascii="楷体_GB2312" w:hAnsi="宋体" w:eastAsia="楷体_GB2312"/>
          <w:b/>
          <w:sz w:val="24"/>
        </w:rPr>
        <w:t>标的资产</w:t>
      </w:r>
      <w:r>
        <w:rPr>
          <w:rFonts w:ascii="楷体_GB2312" w:hAnsi="宋体" w:eastAsia="楷体_GB2312"/>
          <w:b/>
          <w:sz w:val="24"/>
        </w:rPr>
        <w:t>清单</w:t>
      </w:r>
    </w:p>
    <w:p>
      <w:pPr>
        <w:spacing w:after="312" w:afterLines="100" w:line="300" w:lineRule="auto"/>
        <w:jc w:val="center"/>
        <w:rPr>
          <w:rFonts w:ascii="楷体_GB2312" w:hAnsi="宋体" w:eastAsia="楷体_GB2312"/>
          <w:b/>
          <w:sz w:val="24"/>
        </w:rPr>
      </w:pPr>
      <w:r>
        <w:rPr>
          <w:rFonts w:hint="eastAsia" w:ascii="楷体_GB2312" w:hAnsi="宋体" w:eastAsia="楷体_GB2312"/>
          <w:b/>
          <w:sz w:val="24"/>
        </w:rPr>
        <w:t>标的资产清单</w:t>
      </w:r>
    </w:p>
    <w:p>
      <w:pPr>
        <w:spacing w:after="312" w:afterLines="100" w:line="300" w:lineRule="auto"/>
        <w:rPr>
          <w:rFonts w:ascii="楷体" w:hAnsi="楷体" w:eastAsia="楷体"/>
          <w:sz w:val="23"/>
          <w:szCs w:val="28"/>
        </w:rPr>
      </w:pPr>
      <w:r>
        <w:rPr>
          <w:rFonts w:hint="eastAsia" w:ascii="楷体" w:hAnsi="楷体" w:eastAsia="楷体"/>
          <w:sz w:val="23"/>
          <w:szCs w:val="28"/>
        </w:rPr>
        <w:t>标的资产清单A：债权标的资产清单</w:t>
      </w:r>
    </w:p>
    <w:p>
      <w:pPr>
        <w:spacing w:after="312" w:afterLines="100" w:line="300" w:lineRule="auto"/>
        <w:ind w:firstLine="5405" w:firstLineChars="2350"/>
        <w:jc w:val="right"/>
        <w:rPr>
          <w:rFonts w:ascii="楷体" w:hAnsi="楷体" w:eastAsia="楷体"/>
          <w:sz w:val="23"/>
          <w:szCs w:val="28"/>
        </w:rPr>
      </w:pPr>
      <w:r>
        <w:rPr>
          <w:rFonts w:hint="eastAsia" w:ascii="楷体" w:hAnsi="楷体" w:eastAsia="楷体"/>
          <w:sz w:val="23"/>
          <w:szCs w:val="28"/>
        </w:rPr>
        <w:t>单位：人民币  元</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994"/>
        <w:gridCol w:w="911"/>
        <w:gridCol w:w="1142"/>
        <w:gridCol w:w="899"/>
        <w:gridCol w:w="1518"/>
        <w:gridCol w:w="1518"/>
        <w:gridCol w:w="1518"/>
        <w:gridCol w:w="1356"/>
        <w:gridCol w:w="1411"/>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86"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bookmarkStart w:id="5" w:name="_Toc495656880"/>
            <w:bookmarkStart w:id="6" w:name="_Toc494284924"/>
            <w:bookmarkStart w:id="7" w:name="_Toc495597281"/>
            <w:bookmarkStart w:id="8" w:name="_Toc494285644"/>
            <w:r>
              <w:rPr>
                <w:rFonts w:hint="default" w:ascii="Times New Roman" w:hAnsi="Times New Roman" w:eastAsia="仿宋_GB2312" w:cs="Times New Roman"/>
                <w:sz w:val="18"/>
                <w:szCs w:val="18"/>
              </w:rPr>
              <w:t>序号</w:t>
            </w:r>
            <w:bookmarkEnd w:id="5"/>
            <w:bookmarkEnd w:id="6"/>
            <w:bookmarkEnd w:id="7"/>
            <w:bookmarkEnd w:id="8"/>
          </w:p>
        </w:tc>
        <w:tc>
          <w:tcPr>
            <w:tcW w:w="344"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bookmarkStart w:id="9" w:name="_Toc494285645"/>
            <w:bookmarkStart w:id="10" w:name="_Toc494284925"/>
            <w:bookmarkStart w:id="11" w:name="_Toc495656881"/>
            <w:bookmarkStart w:id="12" w:name="_Toc495597282"/>
            <w:r>
              <w:rPr>
                <w:rFonts w:hint="default" w:ascii="Times New Roman" w:hAnsi="Times New Roman" w:eastAsia="仿宋_GB2312" w:cs="Times New Roman"/>
                <w:sz w:val="18"/>
                <w:szCs w:val="18"/>
              </w:rPr>
              <w:t>借款人</w:t>
            </w:r>
            <w:bookmarkEnd w:id="9"/>
            <w:bookmarkEnd w:id="10"/>
            <w:bookmarkEnd w:id="11"/>
            <w:bookmarkEnd w:id="12"/>
          </w:p>
        </w:tc>
        <w:tc>
          <w:tcPr>
            <w:tcW w:w="315" w:type="pct"/>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借款人所在地</w:t>
            </w:r>
          </w:p>
        </w:tc>
        <w:tc>
          <w:tcPr>
            <w:tcW w:w="39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eastAsia="zh-CN"/>
              </w:rPr>
            </w:pPr>
            <w:bookmarkStart w:id="13" w:name="_Toc494285648"/>
            <w:bookmarkStart w:id="14" w:name="_Toc495597285"/>
            <w:bookmarkStart w:id="15" w:name="_Toc494284928"/>
            <w:bookmarkStart w:id="16" w:name="_Toc495656884"/>
            <w:r>
              <w:rPr>
                <w:rFonts w:hint="default" w:ascii="Times New Roman" w:hAnsi="Times New Roman" w:eastAsia="仿宋_GB2312" w:cs="Times New Roman"/>
                <w:sz w:val="18"/>
                <w:szCs w:val="18"/>
              </w:rPr>
              <w:t>担保</w:t>
            </w:r>
            <w:bookmarkEnd w:id="13"/>
            <w:bookmarkEnd w:id="14"/>
            <w:bookmarkEnd w:id="15"/>
            <w:bookmarkEnd w:id="16"/>
            <w:r>
              <w:rPr>
                <w:rFonts w:hint="default" w:ascii="Times New Roman" w:hAnsi="Times New Roman" w:eastAsia="仿宋_GB2312" w:cs="Times New Roman"/>
                <w:sz w:val="18"/>
                <w:szCs w:val="18"/>
                <w:lang w:eastAsia="zh-CN"/>
              </w:rPr>
              <w:t>情况</w:t>
            </w:r>
          </w:p>
        </w:tc>
        <w:tc>
          <w:tcPr>
            <w:tcW w:w="311" w:type="pct"/>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担保人所在地</w:t>
            </w:r>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eastAsia="zh-CN"/>
              </w:rPr>
            </w:pPr>
            <w:bookmarkStart w:id="17" w:name="_Toc494284932"/>
            <w:bookmarkStart w:id="18" w:name="_Toc495656888"/>
            <w:bookmarkStart w:id="19" w:name="_Toc494285652"/>
            <w:bookmarkStart w:id="20" w:name="_Toc495597289"/>
            <w:r>
              <w:rPr>
                <w:rFonts w:hint="default" w:ascii="Times New Roman" w:hAnsi="Times New Roman" w:eastAsia="仿宋_GB2312" w:cs="Times New Roman"/>
                <w:sz w:val="18"/>
                <w:szCs w:val="18"/>
                <w:lang w:eastAsia="zh-CN"/>
              </w:rPr>
              <w:t>债权截止日</w:t>
            </w:r>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债权余额</w:t>
            </w:r>
            <w:bookmarkEnd w:id="17"/>
            <w:bookmarkEnd w:id="18"/>
            <w:bookmarkEnd w:id="19"/>
            <w:bookmarkEnd w:id="20"/>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bookmarkStart w:id="21" w:name="_Toc495597290"/>
            <w:bookmarkStart w:id="22" w:name="_Toc495656889"/>
            <w:bookmarkStart w:id="23" w:name="_Toc494285653"/>
            <w:bookmarkStart w:id="24" w:name="_Toc494284933"/>
            <w:r>
              <w:rPr>
                <w:rFonts w:hint="default" w:ascii="Times New Roman" w:hAnsi="Times New Roman" w:eastAsia="仿宋_GB2312" w:cs="Times New Roman"/>
                <w:sz w:val="18"/>
                <w:szCs w:val="18"/>
              </w:rPr>
              <w:t>本金余额</w:t>
            </w:r>
            <w:bookmarkEnd w:id="21"/>
            <w:bookmarkEnd w:id="22"/>
            <w:bookmarkEnd w:id="23"/>
            <w:bookmarkEnd w:id="24"/>
          </w:p>
        </w:tc>
        <w:tc>
          <w:tcPr>
            <w:tcW w:w="469"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bookmarkStart w:id="25" w:name="_Toc494284934"/>
            <w:bookmarkStart w:id="26" w:name="_Toc495656890"/>
            <w:bookmarkStart w:id="27" w:name="_Toc495597291"/>
            <w:bookmarkStart w:id="28" w:name="_Toc494285654"/>
            <w:r>
              <w:rPr>
                <w:rFonts w:hint="default" w:ascii="Times New Roman" w:hAnsi="Times New Roman" w:eastAsia="仿宋_GB2312" w:cs="Times New Roman"/>
                <w:sz w:val="18"/>
                <w:szCs w:val="18"/>
              </w:rPr>
              <w:t>利息余额</w:t>
            </w:r>
            <w:bookmarkEnd w:id="25"/>
            <w:bookmarkEnd w:id="26"/>
            <w:bookmarkEnd w:id="27"/>
            <w:bookmarkEnd w:id="28"/>
          </w:p>
        </w:tc>
        <w:tc>
          <w:tcPr>
            <w:tcW w:w="488"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eastAsia="zh-CN"/>
              </w:rPr>
            </w:pPr>
            <w:bookmarkStart w:id="29" w:name="_Toc495656891"/>
            <w:bookmarkStart w:id="30" w:name="_Toc494285655"/>
            <w:bookmarkStart w:id="31" w:name="_Toc494284935"/>
            <w:bookmarkStart w:id="32" w:name="_Toc495597292"/>
            <w:r>
              <w:rPr>
                <w:rFonts w:hint="default" w:ascii="Times New Roman" w:hAnsi="Times New Roman" w:eastAsia="仿宋_GB2312" w:cs="Times New Roman"/>
                <w:sz w:val="18"/>
                <w:szCs w:val="18"/>
                <w:lang w:eastAsia="zh-CN"/>
              </w:rPr>
              <w:t>延迟履行加倍利息余额</w:t>
            </w:r>
          </w:p>
        </w:tc>
        <w:tc>
          <w:tcPr>
            <w:tcW w:w="912"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备注</w:t>
            </w:r>
            <w:bookmarkEnd w:id="29"/>
            <w:bookmarkEnd w:id="30"/>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86"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bookmarkStart w:id="33" w:name="_Toc494284936"/>
            <w:bookmarkStart w:id="34" w:name="_Toc495597293"/>
            <w:bookmarkStart w:id="35" w:name="_Toc494285656"/>
            <w:bookmarkStart w:id="36" w:name="_Toc495656892"/>
            <w:r>
              <w:rPr>
                <w:rFonts w:hint="default" w:ascii="Times New Roman" w:hAnsi="Times New Roman" w:eastAsia="仿宋_GB2312" w:cs="Times New Roman"/>
                <w:sz w:val="18"/>
                <w:szCs w:val="18"/>
              </w:rPr>
              <w:t>1</w:t>
            </w:r>
            <w:bookmarkEnd w:id="33"/>
            <w:bookmarkEnd w:id="34"/>
            <w:bookmarkEnd w:id="35"/>
            <w:bookmarkEnd w:id="36"/>
          </w:p>
        </w:tc>
        <w:tc>
          <w:tcPr>
            <w:tcW w:w="344"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广西利海房地产开发有限公司（以下简称广西利海公司）</w:t>
            </w:r>
          </w:p>
        </w:tc>
        <w:tc>
          <w:tcPr>
            <w:tcW w:w="315" w:type="pct"/>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广西南宁</w:t>
            </w:r>
          </w:p>
        </w:tc>
        <w:tc>
          <w:tcPr>
            <w:tcW w:w="39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广东利海集团有限公司（以下简称广东利海公司）作为共同债务人、谢海榆提供个人无限连带责任保证担保</w:t>
            </w:r>
          </w:p>
        </w:tc>
        <w:tc>
          <w:tcPr>
            <w:tcW w:w="311" w:type="pct"/>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广东广州</w:t>
            </w:r>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2024年4月30日</w:t>
            </w:r>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r>
              <w:rPr>
                <w:rFonts w:hint="default"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rPr>
              <w:t>190</w:t>
            </w:r>
            <w:r>
              <w:rPr>
                <w:rFonts w:hint="default"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rPr>
              <w:t>821</w:t>
            </w:r>
            <w:r>
              <w:rPr>
                <w:rFonts w:hint="default"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rPr>
              <w:t>943.22</w:t>
            </w:r>
          </w:p>
        </w:tc>
        <w:tc>
          <w:tcPr>
            <w:tcW w:w="525"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1,211,432,147.69</w:t>
            </w:r>
          </w:p>
        </w:tc>
        <w:tc>
          <w:tcPr>
            <w:tcW w:w="469"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579,010,725.17</w:t>
            </w:r>
          </w:p>
        </w:tc>
        <w:tc>
          <w:tcPr>
            <w:tcW w:w="488"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400</w:t>
            </w:r>
            <w:r>
              <w:rPr>
                <w:rFonts w:hint="default"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rPr>
              <w:t>379</w:t>
            </w:r>
            <w:r>
              <w:rPr>
                <w:rFonts w:hint="default"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rPr>
              <w:t>070.36</w:t>
            </w:r>
          </w:p>
        </w:tc>
        <w:tc>
          <w:tcPr>
            <w:tcW w:w="912" w:type="pct"/>
            <w:shd w:val="clear" w:color="auto" w:fill="auto"/>
            <w:vAlign w:val="center"/>
          </w:tcPr>
          <w:p>
            <w:pPr>
              <w:adjustRightInd w:val="0"/>
              <w:snapToGrid w:val="0"/>
              <w:spacing w:after="312" w:afterLines="100" w:line="300" w:lineRule="auto"/>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eastAsia="zh-CN"/>
              </w:rPr>
              <w:t>借款人、共同债务人均已进入破产程序，对其债权于受理破产之日起停息。由于借款人、共同债务人的破产受理时间不同，广东利海公司被广州中院受理破产之日为</w:t>
            </w:r>
            <w:r>
              <w:rPr>
                <w:rFonts w:hint="default" w:ascii="Times New Roman" w:hAnsi="Times New Roman" w:eastAsia="仿宋_GB2312" w:cs="Times New Roman"/>
                <w:sz w:val="18"/>
                <w:szCs w:val="18"/>
                <w:lang w:val="en-US" w:eastAsia="zh-CN"/>
              </w:rPr>
              <w:t>2021年12月21日，</w:t>
            </w:r>
            <w:r>
              <w:rPr>
                <w:rFonts w:hint="default" w:ascii="Times New Roman" w:hAnsi="Times New Roman" w:eastAsia="仿宋_GB2312" w:cs="Times New Roman"/>
                <w:sz w:val="18"/>
                <w:szCs w:val="18"/>
                <w:lang w:eastAsia="zh-CN"/>
              </w:rPr>
              <w:t>广西利海公司被南宁中院受理破产之日为2019年9月29日，因此该债权借款人和共同债务人本金余额相同、利息余额不同，本公告利息余额为广东利海公司的利息余额，广西利海的利息余额为</w:t>
            </w:r>
            <w:r>
              <w:rPr>
                <w:rFonts w:hint="default" w:ascii="Times New Roman" w:hAnsi="Times New Roman" w:eastAsia="仿宋_GB2312" w:cs="Times New Roman"/>
                <w:sz w:val="18"/>
                <w:szCs w:val="18"/>
                <w:lang w:val="en-US" w:eastAsia="zh-CN"/>
              </w:rPr>
              <w:t>414,344,943.80元</w:t>
            </w:r>
            <w:r>
              <w:rPr>
                <w:rFonts w:hint="default" w:ascii="Times New Roman" w:hAnsi="Times New Roman" w:eastAsia="仿宋_GB2312" w:cs="Times New Roman"/>
                <w:sz w:val="18"/>
                <w:szCs w:val="18"/>
                <w:lang w:eastAsia="zh-CN"/>
              </w:rPr>
              <w:t>；保证人谢海榆的利息余额与广东利海公司相同。本次转让不包含债权项下附属权益</w:t>
            </w:r>
            <w:bookmarkStart w:id="37" w:name="_GoBack"/>
            <w:bookmarkEnd w:id="37"/>
          </w:p>
        </w:tc>
      </w:tr>
    </w:tbl>
    <w:p>
      <w:pPr>
        <w:spacing w:after="312" w:afterLines="100" w:line="300" w:lineRule="auto"/>
        <w:rPr>
          <w:rFonts w:ascii="楷体" w:hAnsi="楷体" w:eastAsia="楷体"/>
          <w:sz w:val="23"/>
          <w:szCs w:val="28"/>
        </w:rPr>
      </w:pPr>
    </w:p>
    <w:p>
      <w:pPr>
        <w:spacing w:after="312" w:afterLines="100" w:line="300" w:lineRule="auto"/>
        <w:rPr>
          <w:rFonts w:hint="eastAsia" w:ascii="楷体" w:hAnsi="楷体" w:eastAsia="楷体"/>
          <w:sz w:val="23"/>
          <w:szCs w:val="28"/>
        </w:rPr>
      </w:pPr>
      <w:r>
        <w:rPr>
          <w:rFonts w:hint="eastAsia" w:ascii="楷体" w:hAnsi="楷体" w:eastAsia="楷体"/>
          <w:sz w:val="23"/>
          <w:szCs w:val="28"/>
        </w:rPr>
        <w:t>标的资产清单B：抵债资产的资产清单</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2844"/>
        <w:gridCol w:w="2063"/>
        <w:gridCol w:w="2656"/>
        <w:gridCol w:w="1468"/>
        <w:gridCol w:w="161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序号</w:t>
            </w:r>
          </w:p>
        </w:tc>
        <w:tc>
          <w:tcPr>
            <w:tcW w:w="984"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资产名称</w:t>
            </w:r>
          </w:p>
        </w:tc>
        <w:tc>
          <w:tcPr>
            <w:tcW w:w="714"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所在地</w:t>
            </w:r>
          </w:p>
        </w:tc>
        <w:tc>
          <w:tcPr>
            <w:tcW w:w="919"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抵债金额</w:t>
            </w:r>
            <w:r>
              <w:rPr>
                <w:rFonts w:hint="default" w:ascii="Times New Roman" w:hAnsi="Times New Roman" w:eastAsia="楷体_GB2312" w:cs="Times New Roman"/>
                <w:lang w:eastAsia="zh-CN"/>
              </w:rPr>
              <w:t>（元）</w:t>
            </w:r>
          </w:p>
        </w:tc>
        <w:tc>
          <w:tcPr>
            <w:tcW w:w="508"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数量</w:t>
            </w:r>
          </w:p>
        </w:tc>
        <w:tc>
          <w:tcPr>
            <w:tcW w:w="557"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单位</w:t>
            </w:r>
          </w:p>
        </w:tc>
        <w:tc>
          <w:tcPr>
            <w:tcW w:w="872" w:type="pct"/>
            <w:noWrap w:val="0"/>
            <w:vAlign w:val="center"/>
          </w:tcPr>
          <w:p>
            <w:pPr>
              <w:jc w:val="center"/>
              <w:rPr>
                <w:rFonts w:hint="default" w:ascii="Times New Roman" w:hAnsi="Times New Roman" w:eastAsia="楷体_GB2312" w:cs="Times New Roman"/>
              </w:rPr>
            </w:pPr>
            <w:r>
              <w:rPr>
                <w:rFonts w:hint="default" w:ascii="Times New Roman" w:hAnsi="Times New Roman" w:eastAsia="楷体_GB2312" w:cs="Times New Roman"/>
              </w:rPr>
              <w:t>当前资产状况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0"/>
            <w:vAlign w:val="center"/>
          </w:tcPr>
          <w:p>
            <w:pPr>
              <w:jc w:val="center"/>
              <w:rPr>
                <w:rFonts w:hint="default" w:ascii="Times New Roman" w:hAnsi="Times New Roman" w:eastAsia="楷体_GB2312" w:cs="Times New Roman"/>
                <w:sz w:val="18"/>
                <w:szCs w:val="18"/>
                <w:lang w:val="en-US" w:eastAsia="zh-CN"/>
              </w:rPr>
            </w:pPr>
            <w:r>
              <w:rPr>
                <w:rFonts w:hint="default" w:ascii="Times New Roman" w:hAnsi="Times New Roman" w:eastAsia="楷体_GB2312" w:cs="Times New Roman"/>
                <w:sz w:val="18"/>
                <w:szCs w:val="18"/>
                <w:lang w:val="en-US" w:eastAsia="zh-CN"/>
              </w:rPr>
              <w:t>1</w:t>
            </w:r>
          </w:p>
        </w:tc>
        <w:tc>
          <w:tcPr>
            <w:tcW w:w="984" w:type="pct"/>
            <w:noWrap w:val="0"/>
            <w:vAlign w:val="center"/>
          </w:tcPr>
          <w:p>
            <w:pPr>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南宁利海亚洲国际商业裙楼（在建工程）</w:t>
            </w:r>
          </w:p>
        </w:tc>
        <w:tc>
          <w:tcPr>
            <w:tcW w:w="714" w:type="pct"/>
            <w:noWrap w:val="0"/>
            <w:vAlign w:val="center"/>
          </w:tcPr>
          <w:p>
            <w:pPr>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广西南宁青秀区中柬路9号</w:t>
            </w:r>
          </w:p>
        </w:tc>
        <w:tc>
          <w:tcPr>
            <w:tcW w:w="919" w:type="pct"/>
            <w:noWrap w:val="0"/>
            <w:vAlign w:val="center"/>
          </w:tcPr>
          <w:p>
            <w:pPr>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1,080,108,960.00</w:t>
            </w:r>
          </w:p>
        </w:tc>
        <w:tc>
          <w:tcPr>
            <w:tcW w:w="508" w:type="pct"/>
            <w:noWrap w:val="0"/>
            <w:vAlign w:val="center"/>
          </w:tcPr>
          <w:p>
            <w:pPr>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87,353.89</w:t>
            </w:r>
          </w:p>
        </w:tc>
        <w:tc>
          <w:tcPr>
            <w:tcW w:w="557" w:type="pct"/>
            <w:noWrap w:val="0"/>
            <w:vAlign w:val="center"/>
          </w:tcPr>
          <w:p>
            <w:pPr>
              <w:jc w:val="center"/>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平方米</w:t>
            </w:r>
          </w:p>
        </w:tc>
        <w:tc>
          <w:tcPr>
            <w:tcW w:w="872" w:type="pct"/>
            <w:noWrap w:val="0"/>
            <w:vAlign w:val="center"/>
          </w:tcPr>
          <w:p>
            <w:pPr>
              <w:jc w:val="center"/>
              <w:rPr>
                <w:rFonts w:hint="eastAsia" w:ascii="Times New Roman" w:hAnsi="Times New Roman" w:eastAsia="楷体_GB2312" w:cs="Times New Roman"/>
                <w:sz w:val="18"/>
                <w:szCs w:val="18"/>
                <w:lang w:val="en-US" w:eastAsia="zh-CN"/>
              </w:rPr>
            </w:pPr>
            <w:r>
              <w:rPr>
                <w:rFonts w:hint="default" w:ascii="Times New Roman" w:hAnsi="Times New Roman" w:eastAsia="楷体_GB2312" w:cs="Times New Roman"/>
                <w:sz w:val="18"/>
                <w:szCs w:val="18"/>
              </w:rPr>
              <w:t>空置</w:t>
            </w:r>
            <w:r>
              <w:rPr>
                <w:rFonts w:hint="default" w:ascii="Times New Roman" w:hAnsi="Times New Roman" w:eastAsia="楷体_GB2312" w:cs="Times New Roman"/>
                <w:sz w:val="18"/>
                <w:szCs w:val="18"/>
                <w:lang w:eastAsia="zh-CN"/>
              </w:rPr>
              <w:t>，在建工程</w:t>
            </w:r>
            <w:r>
              <w:rPr>
                <w:rFonts w:hint="eastAsia" w:eastAsia="楷体_GB2312" w:cs="Times New Roman"/>
                <w:sz w:val="18"/>
                <w:szCs w:val="18"/>
                <w:lang w:eastAsia="zh-CN"/>
              </w:rPr>
              <w:t>；本次处置包含抵债资产财产保险合同项下权益</w:t>
            </w:r>
          </w:p>
        </w:tc>
      </w:tr>
    </w:tbl>
    <w:p>
      <w:pPr>
        <w:spacing w:after="312" w:afterLines="100" w:line="300" w:lineRule="auto"/>
        <w:rPr>
          <w:rFonts w:hint="eastAsia" w:ascii="楷体" w:hAnsi="楷体" w:eastAsia="楷体"/>
          <w:sz w:val="23"/>
          <w:szCs w:val="28"/>
        </w:rPr>
      </w:pPr>
    </w:p>
    <w:p>
      <w:pPr>
        <w:spacing w:before="120" w:line="360" w:lineRule="exact"/>
        <w:ind w:firstLine="422" w:firstLineChars="200"/>
        <w:jc w:val="left"/>
        <w:rPr>
          <w:b/>
        </w:rPr>
      </w:pPr>
    </w:p>
    <w:sectPr>
      <w:pgSz w:w="16838" w:h="11906" w:orient="landscape"/>
      <w:pgMar w:top="1304" w:right="1304" w:bottom="1106"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1B"/>
    <w:rsid w:val="00010B37"/>
    <w:rsid w:val="000153E8"/>
    <w:rsid w:val="00016557"/>
    <w:rsid w:val="000450ED"/>
    <w:rsid w:val="000467CC"/>
    <w:rsid w:val="00060CF7"/>
    <w:rsid w:val="00067FC3"/>
    <w:rsid w:val="00070728"/>
    <w:rsid w:val="00072D3C"/>
    <w:rsid w:val="00091BC7"/>
    <w:rsid w:val="00096C89"/>
    <w:rsid w:val="000B3CF5"/>
    <w:rsid w:val="000B7546"/>
    <w:rsid w:val="000C2277"/>
    <w:rsid w:val="000D07FD"/>
    <w:rsid w:val="000D1378"/>
    <w:rsid w:val="000D15D3"/>
    <w:rsid w:val="000E6610"/>
    <w:rsid w:val="000F0863"/>
    <w:rsid w:val="0010163E"/>
    <w:rsid w:val="00106932"/>
    <w:rsid w:val="00111052"/>
    <w:rsid w:val="00150FC0"/>
    <w:rsid w:val="00156568"/>
    <w:rsid w:val="00177901"/>
    <w:rsid w:val="00183D87"/>
    <w:rsid w:val="0019321E"/>
    <w:rsid w:val="001A2CD5"/>
    <w:rsid w:val="001B399D"/>
    <w:rsid w:val="001C3A56"/>
    <w:rsid w:val="001D4C94"/>
    <w:rsid w:val="001F6B3B"/>
    <w:rsid w:val="002020EA"/>
    <w:rsid w:val="00204DC2"/>
    <w:rsid w:val="00205036"/>
    <w:rsid w:val="0020706E"/>
    <w:rsid w:val="00211A9A"/>
    <w:rsid w:val="00232435"/>
    <w:rsid w:val="00237822"/>
    <w:rsid w:val="00241956"/>
    <w:rsid w:val="00244D9F"/>
    <w:rsid w:val="00256C8A"/>
    <w:rsid w:val="0027159F"/>
    <w:rsid w:val="00280F97"/>
    <w:rsid w:val="00293B64"/>
    <w:rsid w:val="0029635F"/>
    <w:rsid w:val="002A361A"/>
    <w:rsid w:val="002A6A40"/>
    <w:rsid w:val="002B32DD"/>
    <w:rsid w:val="002C1387"/>
    <w:rsid w:val="002C23A0"/>
    <w:rsid w:val="002C754E"/>
    <w:rsid w:val="002D3048"/>
    <w:rsid w:val="002E3AEA"/>
    <w:rsid w:val="002F19A2"/>
    <w:rsid w:val="00313A2C"/>
    <w:rsid w:val="0031446B"/>
    <w:rsid w:val="00342BCF"/>
    <w:rsid w:val="00360DF1"/>
    <w:rsid w:val="003922DC"/>
    <w:rsid w:val="00395B58"/>
    <w:rsid w:val="003B03B3"/>
    <w:rsid w:val="003B070B"/>
    <w:rsid w:val="003B5226"/>
    <w:rsid w:val="003B6450"/>
    <w:rsid w:val="003C0742"/>
    <w:rsid w:val="003C3F0B"/>
    <w:rsid w:val="003D6488"/>
    <w:rsid w:val="003E13C5"/>
    <w:rsid w:val="00416EAC"/>
    <w:rsid w:val="00417476"/>
    <w:rsid w:val="00433ECB"/>
    <w:rsid w:val="00457A9A"/>
    <w:rsid w:val="00457FD3"/>
    <w:rsid w:val="00480D1E"/>
    <w:rsid w:val="004B61E7"/>
    <w:rsid w:val="004D38CE"/>
    <w:rsid w:val="004D7EB1"/>
    <w:rsid w:val="004E5C7F"/>
    <w:rsid w:val="004F3541"/>
    <w:rsid w:val="004F693F"/>
    <w:rsid w:val="00501137"/>
    <w:rsid w:val="00501C02"/>
    <w:rsid w:val="00503B25"/>
    <w:rsid w:val="00514B48"/>
    <w:rsid w:val="00531683"/>
    <w:rsid w:val="00532DB0"/>
    <w:rsid w:val="00540361"/>
    <w:rsid w:val="005413C7"/>
    <w:rsid w:val="00554E84"/>
    <w:rsid w:val="005552EC"/>
    <w:rsid w:val="00556BA1"/>
    <w:rsid w:val="005630D3"/>
    <w:rsid w:val="005A7E26"/>
    <w:rsid w:val="005B4E01"/>
    <w:rsid w:val="005C250F"/>
    <w:rsid w:val="005C7FA3"/>
    <w:rsid w:val="005E04D0"/>
    <w:rsid w:val="005F082E"/>
    <w:rsid w:val="006200A2"/>
    <w:rsid w:val="006205AD"/>
    <w:rsid w:val="006326CD"/>
    <w:rsid w:val="00637205"/>
    <w:rsid w:val="00651DBD"/>
    <w:rsid w:val="00652456"/>
    <w:rsid w:val="006607C4"/>
    <w:rsid w:val="00662E23"/>
    <w:rsid w:val="0067160C"/>
    <w:rsid w:val="00677292"/>
    <w:rsid w:val="00681208"/>
    <w:rsid w:val="006A2F6E"/>
    <w:rsid w:val="006A5A4E"/>
    <w:rsid w:val="006A6B6C"/>
    <w:rsid w:val="006B5875"/>
    <w:rsid w:val="006B770B"/>
    <w:rsid w:val="006D5FF9"/>
    <w:rsid w:val="006E5526"/>
    <w:rsid w:val="006E5CED"/>
    <w:rsid w:val="00712CA5"/>
    <w:rsid w:val="00731DBB"/>
    <w:rsid w:val="00740AB6"/>
    <w:rsid w:val="00741183"/>
    <w:rsid w:val="00742FA4"/>
    <w:rsid w:val="00744066"/>
    <w:rsid w:val="00763005"/>
    <w:rsid w:val="00770F8C"/>
    <w:rsid w:val="007716EC"/>
    <w:rsid w:val="007924A9"/>
    <w:rsid w:val="00795E08"/>
    <w:rsid w:val="007B483F"/>
    <w:rsid w:val="007B665F"/>
    <w:rsid w:val="007C0A39"/>
    <w:rsid w:val="007C49BD"/>
    <w:rsid w:val="007E027E"/>
    <w:rsid w:val="007E33B5"/>
    <w:rsid w:val="007E7FD1"/>
    <w:rsid w:val="00801244"/>
    <w:rsid w:val="00803383"/>
    <w:rsid w:val="00806369"/>
    <w:rsid w:val="00825181"/>
    <w:rsid w:val="00834538"/>
    <w:rsid w:val="00843954"/>
    <w:rsid w:val="008451D0"/>
    <w:rsid w:val="00852246"/>
    <w:rsid w:val="008612F7"/>
    <w:rsid w:val="00861B3B"/>
    <w:rsid w:val="00861D54"/>
    <w:rsid w:val="00871FA9"/>
    <w:rsid w:val="00881774"/>
    <w:rsid w:val="00897103"/>
    <w:rsid w:val="00897492"/>
    <w:rsid w:val="008A3A09"/>
    <w:rsid w:val="008E0CE9"/>
    <w:rsid w:val="008E2833"/>
    <w:rsid w:val="008F084F"/>
    <w:rsid w:val="008F7DF9"/>
    <w:rsid w:val="00904244"/>
    <w:rsid w:val="00917012"/>
    <w:rsid w:val="00920E7F"/>
    <w:rsid w:val="00931685"/>
    <w:rsid w:val="00933C19"/>
    <w:rsid w:val="0094039D"/>
    <w:rsid w:val="00941622"/>
    <w:rsid w:val="00941A76"/>
    <w:rsid w:val="00944A9B"/>
    <w:rsid w:val="00946B7D"/>
    <w:rsid w:val="0095661D"/>
    <w:rsid w:val="0096539C"/>
    <w:rsid w:val="00967E7A"/>
    <w:rsid w:val="0099634E"/>
    <w:rsid w:val="009A0B5F"/>
    <w:rsid w:val="009C5CEE"/>
    <w:rsid w:val="009C7110"/>
    <w:rsid w:val="009D282A"/>
    <w:rsid w:val="009D7C26"/>
    <w:rsid w:val="009F2DE6"/>
    <w:rsid w:val="00A10CC3"/>
    <w:rsid w:val="00A25C9E"/>
    <w:rsid w:val="00A27086"/>
    <w:rsid w:val="00A345EF"/>
    <w:rsid w:val="00A41D6E"/>
    <w:rsid w:val="00A43404"/>
    <w:rsid w:val="00A50B5F"/>
    <w:rsid w:val="00A55C69"/>
    <w:rsid w:val="00A63B12"/>
    <w:rsid w:val="00A73254"/>
    <w:rsid w:val="00A761C9"/>
    <w:rsid w:val="00A76362"/>
    <w:rsid w:val="00A80F6F"/>
    <w:rsid w:val="00A8661B"/>
    <w:rsid w:val="00A91A20"/>
    <w:rsid w:val="00A95DE7"/>
    <w:rsid w:val="00AA5B6D"/>
    <w:rsid w:val="00AC2E70"/>
    <w:rsid w:val="00AD7429"/>
    <w:rsid w:val="00AF039F"/>
    <w:rsid w:val="00AF2EC5"/>
    <w:rsid w:val="00B04D50"/>
    <w:rsid w:val="00B061D5"/>
    <w:rsid w:val="00B14157"/>
    <w:rsid w:val="00B2634C"/>
    <w:rsid w:val="00B4231B"/>
    <w:rsid w:val="00B61057"/>
    <w:rsid w:val="00B706DC"/>
    <w:rsid w:val="00B77869"/>
    <w:rsid w:val="00B86436"/>
    <w:rsid w:val="00B91142"/>
    <w:rsid w:val="00BA1B14"/>
    <w:rsid w:val="00BB2954"/>
    <w:rsid w:val="00BD06F7"/>
    <w:rsid w:val="00BD5100"/>
    <w:rsid w:val="00BE2C22"/>
    <w:rsid w:val="00BE39A2"/>
    <w:rsid w:val="00BE51F4"/>
    <w:rsid w:val="00BF5258"/>
    <w:rsid w:val="00C06805"/>
    <w:rsid w:val="00C26EE8"/>
    <w:rsid w:val="00C3077B"/>
    <w:rsid w:val="00C36A3F"/>
    <w:rsid w:val="00C419C5"/>
    <w:rsid w:val="00C43910"/>
    <w:rsid w:val="00C53262"/>
    <w:rsid w:val="00C66F1B"/>
    <w:rsid w:val="00C84798"/>
    <w:rsid w:val="00C85B9F"/>
    <w:rsid w:val="00C86857"/>
    <w:rsid w:val="00C914FB"/>
    <w:rsid w:val="00CA02B7"/>
    <w:rsid w:val="00CA4C29"/>
    <w:rsid w:val="00CB7AE9"/>
    <w:rsid w:val="00CF3A16"/>
    <w:rsid w:val="00CF4EAE"/>
    <w:rsid w:val="00D00650"/>
    <w:rsid w:val="00D132D6"/>
    <w:rsid w:val="00D27E67"/>
    <w:rsid w:val="00D65990"/>
    <w:rsid w:val="00D84352"/>
    <w:rsid w:val="00D914F6"/>
    <w:rsid w:val="00DB36F5"/>
    <w:rsid w:val="00DD1342"/>
    <w:rsid w:val="00DE25E9"/>
    <w:rsid w:val="00DF02F5"/>
    <w:rsid w:val="00E11AA2"/>
    <w:rsid w:val="00E218D8"/>
    <w:rsid w:val="00E44001"/>
    <w:rsid w:val="00E54AB4"/>
    <w:rsid w:val="00E76FB6"/>
    <w:rsid w:val="00E860D3"/>
    <w:rsid w:val="00EA6BCE"/>
    <w:rsid w:val="00EB3849"/>
    <w:rsid w:val="00EC48F8"/>
    <w:rsid w:val="00EC49E6"/>
    <w:rsid w:val="00EE4803"/>
    <w:rsid w:val="00F01EBE"/>
    <w:rsid w:val="00F05699"/>
    <w:rsid w:val="00F425BB"/>
    <w:rsid w:val="00F52765"/>
    <w:rsid w:val="00F56065"/>
    <w:rsid w:val="00F63A45"/>
    <w:rsid w:val="00F661B3"/>
    <w:rsid w:val="00F66F6E"/>
    <w:rsid w:val="00F80316"/>
    <w:rsid w:val="00F827C8"/>
    <w:rsid w:val="00F85E8B"/>
    <w:rsid w:val="00F86872"/>
    <w:rsid w:val="00F874F6"/>
    <w:rsid w:val="00F9345E"/>
    <w:rsid w:val="00F96E96"/>
    <w:rsid w:val="00FB2344"/>
    <w:rsid w:val="00FD3008"/>
    <w:rsid w:val="00FE5B9D"/>
    <w:rsid w:val="00FF29C8"/>
    <w:rsid w:val="01B46E68"/>
    <w:rsid w:val="03E3718A"/>
    <w:rsid w:val="04162CF0"/>
    <w:rsid w:val="06CB4388"/>
    <w:rsid w:val="06EE1F5F"/>
    <w:rsid w:val="072F645F"/>
    <w:rsid w:val="0ADB6343"/>
    <w:rsid w:val="0BFD625E"/>
    <w:rsid w:val="0DA131F9"/>
    <w:rsid w:val="0E766745"/>
    <w:rsid w:val="0F4F1351"/>
    <w:rsid w:val="101441FC"/>
    <w:rsid w:val="13BB1914"/>
    <w:rsid w:val="13F3581A"/>
    <w:rsid w:val="14563CFF"/>
    <w:rsid w:val="1512321F"/>
    <w:rsid w:val="16ED3412"/>
    <w:rsid w:val="1879682F"/>
    <w:rsid w:val="19052887"/>
    <w:rsid w:val="1AD6625A"/>
    <w:rsid w:val="1BBE2ACC"/>
    <w:rsid w:val="1C7243C2"/>
    <w:rsid w:val="1CCD1E20"/>
    <w:rsid w:val="233861E2"/>
    <w:rsid w:val="23A752AE"/>
    <w:rsid w:val="25477E36"/>
    <w:rsid w:val="27FE7521"/>
    <w:rsid w:val="2A095436"/>
    <w:rsid w:val="2E29294B"/>
    <w:rsid w:val="32053476"/>
    <w:rsid w:val="3238276D"/>
    <w:rsid w:val="330327B6"/>
    <w:rsid w:val="3309404A"/>
    <w:rsid w:val="359D7CDE"/>
    <w:rsid w:val="360758C6"/>
    <w:rsid w:val="374179DE"/>
    <w:rsid w:val="37664D9F"/>
    <w:rsid w:val="381D3855"/>
    <w:rsid w:val="391B373F"/>
    <w:rsid w:val="3A583C32"/>
    <w:rsid w:val="3A8B2756"/>
    <w:rsid w:val="3B24004B"/>
    <w:rsid w:val="40747E0F"/>
    <w:rsid w:val="43F31B75"/>
    <w:rsid w:val="4423215B"/>
    <w:rsid w:val="46627501"/>
    <w:rsid w:val="49653600"/>
    <w:rsid w:val="4D644012"/>
    <w:rsid w:val="4F08308C"/>
    <w:rsid w:val="4F8E2497"/>
    <w:rsid w:val="50233B57"/>
    <w:rsid w:val="50A03AED"/>
    <w:rsid w:val="522D3E14"/>
    <w:rsid w:val="53EE49CF"/>
    <w:rsid w:val="54AA4A3E"/>
    <w:rsid w:val="553B224D"/>
    <w:rsid w:val="55553616"/>
    <w:rsid w:val="57D93C30"/>
    <w:rsid w:val="59C00559"/>
    <w:rsid w:val="59EC6E41"/>
    <w:rsid w:val="5B2F46E8"/>
    <w:rsid w:val="5B9354BE"/>
    <w:rsid w:val="5DBD7981"/>
    <w:rsid w:val="5E122732"/>
    <w:rsid w:val="5F063483"/>
    <w:rsid w:val="60482C5D"/>
    <w:rsid w:val="607A1D56"/>
    <w:rsid w:val="639E2E9E"/>
    <w:rsid w:val="645179A9"/>
    <w:rsid w:val="654B622D"/>
    <w:rsid w:val="67712C70"/>
    <w:rsid w:val="680E09A0"/>
    <w:rsid w:val="6A331096"/>
    <w:rsid w:val="6E753F77"/>
    <w:rsid w:val="702576B5"/>
    <w:rsid w:val="70E24390"/>
    <w:rsid w:val="71650E2A"/>
    <w:rsid w:val="725F5F07"/>
    <w:rsid w:val="734965E8"/>
    <w:rsid w:val="743621A5"/>
    <w:rsid w:val="747262D6"/>
    <w:rsid w:val="74851717"/>
    <w:rsid w:val="77847326"/>
    <w:rsid w:val="77ED2143"/>
    <w:rsid w:val="789E59FF"/>
    <w:rsid w:val="792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page number"/>
    <w:basedOn w:val="9"/>
    <w:qFormat/>
    <w:uiPriority w:val="0"/>
  </w:style>
  <w:style w:type="character" w:styleId="11">
    <w:name w:val="FollowedHyperlink"/>
    <w:basedOn w:val="9"/>
    <w:qFormat/>
    <w:uiPriority w:val="0"/>
    <w:rPr>
      <w:color w:val="954F72" w:themeColor="followedHyperlink"/>
      <w:u w:val="single"/>
      <w14:textFill>
        <w14:solidFill>
          <w14:schemeClr w14:val="folHlink"/>
        </w14:solidFill>
      </w14:textFill>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Char Char Char Char"/>
    <w:basedOn w:val="1"/>
    <w:qFormat/>
    <w:uiPriority w:val="0"/>
    <w:rPr>
      <w:kern w:val="0"/>
      <w:sz w:val="24"/>
      <w:szCs w:val="20"/>
    </w:rPr>
  </w:style>
  <w:style w:type="character" w:customStyle="1" w:styleId="15">
    <w:name w:val="页眉 Char"/>
    <w:link w:val="6"/>
    <w:qFormat/>
    <w:uiPriority w:val="0"/>
    <w:rPr>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1620</Words>
  <Characters>326</Characters>
  <Lines>2</Lines>
  <Paragraphs>3</Paragraphs>
  <TotalTime>19</TotalTime>
  <ScaleCrop>false</ScaleCrop>
  <LinksUpToDate>false</LinksUpToDate>
  <CharactersWithSpaces>1943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2021-10-25T03:00:00Z</dcterms:created>
  <dc:creator>MiaoQinghui</dc:creator>
  <cp:keywords> </cp:keywords>
  <cp:lastModifiedBy>江品默</cp:lastModifiedBy>
  <cp:lastPrinted>2016-01-28T09:13:00Z</cp:lastPrinted>
  <dcterms:modified xsi:type="dcterms:W3CDTF">2025-07-18T01:47:55Z</dcterms:modified>
  <dc:subject> </dc:subject>
  <dc:title> </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gAAAk3fnb0CAyDNgxakj+naAhdgIX8nGblNo</vt:lpwstr>
  </property>
  <property fmtid="{D5CDD505-2E9C-101B-9397-08002B2CF9AE}" pid="3" name="MAIL_MSG_ID1">
    <vt:lpwstr>sAAAE34RQVAK31ml5BlinVa/yF3+vFwlS/pOv6m/0lZgVsQ=</vt:lpwstr>
  </property>
  <property fmtid="{D5CDD505-2E9C-101B-9397-08002B2CF9AE}" pid="4" name="EMAIL_OWNER_ADDRESS">
    <vt:lpwstr>sAAAE34RQVAK31nnwqFjEWGAw+tQRuvad4LgfoxSVi96jsU=</vt:lpwstr>
  </property>
  <property fmtid="{D5CDD505-2E9C-101B-9397-08002B2CF9AE}" pid="5" name="KSOProductBuildVer">
    <vt:lpwstr>2052-11.1.0.9828</vt:lpwstr>
  </property>
  <property fmtid="{D5CDD505-2E9C-101B-9397-08002B2CF9AE}" pid="6" name="ICV">
    <vt:lpwstr>B06136C22F734396909CDB7E8EEA642D_12</vt:lpwstr>
  </property>
</Properties>
</file>