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43DA">
      <w:pPr>
        <w:autoSpaceDE w:val="0"/>
        <w:autoSpaceDN w:val="0"/>
        <w:adjustRightInd w:val="0"/>
        <w:spacing w:after="312" w:afterLines="100" w:line="300" w:lineRule="auto"/>
        <w:outlineLvl w:val="0"/>
        <w:rPr>
          <w:rFonts w:ascii="楷体_GB2312" w:hAnsi="宋体" w:eastAsia="楷体_GB2312"/>
          <w:b/>
          <w:sz w:val="24"/>
        </w:rPr>
      </w:pPr>
      <w:r>
        <w:rPr>
          <w:rFonts w:ascii="楷体_GB2312" w:hAnsi="宋体" w:eastAsia="楷体_GB2312"/>
          <w:b/>
          <w:sz w:val="24"/>
        </w:rPr>
        <w:t xml:space="preserve">附件   </w:t>
      </w:r>
      <w:r>
        <w:rPr>
          <w:rFonts w:hint="eastAsia" w:ascii="楷体_GB2312" w:hAnsi="宋体" w:eastAsia="楷体_GB2312"/>
          <w:b/>
          <w:sz w:val="24"/>
        </w:rPr>
        <w:t>标的资产</w:t>
      </w:r>
      <w:r>
        <w:rPr>
          <w:rFonts w:ascii="楷体_GB2312" w:hAnsi="宋体" w:eastAsia="楷体_GB2312"/>
          <w:b/>
          <w:sz w:val="24"/>
        </w:rPr>
        <w:t>清单</w:t>
      </w:r>
    </w:p>
    <w:p w14:paraId="27A748DF">
      <w:pPr>
        <w:spacing w:after="312" w:afterLines="100" w:line="300" w:lineRule="auto"/>
        <w:jc w:val="center"/>
        <w:rPr>
          <w:rFonts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标的资产清单</w:t>
      </w:r>
    </w:p>
    <w:p w14:paraId="36D686F1">
      <w:pPr>
        <w:spacing w:after="312" w:afterLines="100" w:line="300" w:lineRule="auto"/>
        <w:rPr>
          <w:rFonts w:ascii="楷体" w:hAnsi="楷体" w:eastAsia="楷体"/>
          <w:sz w:val="23"/>
          <w:szCs w:val="28"/>
        </w:rPr>
      </w:pPr>
      <w:r>
        <w:rPr>
          <w:rFonts w:hint="eastAsia" w:ascii="楷体" w:hAnsi="楷体" w:eastAsia="楷体"/>
          <w:sz w:val="23"/>
          <w:szCs w:val="28"/>
        </w:rPr>
        <w:t>标的资产清单A：债权标的资产清单</w:t>
      </w:r>
    </w:p>
    <w:p w14:paraId="18EA0E5C">
      <w:pPr>
        <w:spacing w:after="312" w:afterLines="100" w:line="300" w:lineRule="auto"/>
        <w:ind w:firstLine="5405" w:firstLineChars="2350"/>
        <w:jc w:val="right"/>
        <w:rPr>
          <w:rFonts w:ascii="楷体" w:hAnsi="楷体" w:eastAsia="楷体"/>
          <w:sz w:val="23"/>
          <w:szCs w:val="28"/>
        </w:rPr>
      </w:pPr>
      <w:r>
        <w:rPr>
          <w:rFonts w:hint="eastAsia" w:ascii="楷体" w:hAnsi="楷体" w:eastAsia="楷体"/>
          <w:sz w:val="23"/>
          <w:szCs w:val="28"/>
        </w:rPr>
        <w:t>单位：人民币  元/美元</w:t>
      </w:r>
    </w:p>
    <w:tbl>
      <w:tblPr>
        <w:tblStyle w:val="2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443"/>
        <w:gridCol w:w="652"/>
        <w:gridCol w:w="848"/>
        <w:gridCol w:w="939"/>
        <w:gridCol w:w="600"/>
        <w:gridCol w:w="587"/>
        <w:gridCol w:w="574"/>
        <w:gridCol w:w="1644"/>
        <w:gridCol w:w="1200"/>
        <w:gridCol w:w="926"/>
        <w:gridCol w:w="874"/>
        <w:gridCol w:w="992"/>
      </w:tblGrid>
      <w:tr w14:paraId="6A77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8" w:type="dxa"/>
            <w:shd w:val="clear" w:color="auto" w:fill="auto"/>
          </w:tcPr>
          <w:p w14:paraId="7854A3D2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0" w:name="_Toc495656880"/>
            <w:bookmarkStart w:id="1" w:name="_Toc494284924"/>
            <w:bookmarkStart w:id="2" w:name="_Toc494285644"/>
            <w:bookmarkStart w:id="3" w:name="_Toc495597281"/>
            <w:r>
              <w:rPr>
                <w:rFonts w:hint="eastAsia" w:ascii="楷体" w:hAnsi="楷体" w:eastAsia="楷体"/>
                <w:sz w:val="15"/>
                <w:szCs w:val="15"/>
              </w:rPr>
              <w:t>序号</w:t>
            </w:r>
            <w:bookmarkEnd w:id="0"/>
            <w:bookmarkEnd w:id="1"/>
            <w:bookmarkEnd w:id="2"/>
            <w:bookmarkEnd w:id="3"/>
          </w:p>
        </w:tc>
        <w:tc>
          <w:tcPr>
            <w:tcW w:w="443" w:type="dxa"/>
            <w:shd w:val="clear" w:color="auto" w:fill="auto"/>
          </w:tcPr>
          <w:p w14:paraId="19FA2612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4" w:name="_Toc495597282"/>
            <w:bookmarkStart w:id="5" w:name="_Toc494284925"/>
            <w:bookmarkStart w:id="6" w:name="_Toc495656881"/>
            <w:bookmarkStart w:id="7" w:name="_Toc494285645"/>
            <w:r>
              <w:rPr>
                <w:rFonts w:hint="eastAsia" w:ascii="楷体" w:hAnsi="楷体" w:eastAsia="楷体"/>
                <w:sz w:val="15"/>
                <w:szCs w:val="15"/>
              </w:rPr>
              <w:t>借款人</w:t>
            </w:r>
            <w:bookmarkEnd w:id="4"/>
            <w:bookmarkEnd w:id="5"/>
            <w:bookmarkEnd w:id="6"/>
            <w:bookmarkEnd w:id="7"/>
          </w:p>
        </w:tc>
        <w:tc>
          <w:tcPr>
            <w:tcW w:w="652" w:type="dxa"/>
          </w:tcPr>
          <w:p w14:paraId="1AB85AA4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借款人</w:t>
            </w:r>
            <w:r>
              <w:rPr>
                <w:rFonts w:ascii="楷体" w:hAnsi="楷体" w:eastAsia="楷体"/>
                <w:sz w:val="15"/>
                <w:szCs w:val="15"/>
              </w:rPr>
              <w:t>所在地</w:t>
            </w:r>
          </w:p>
        </w:tc>
        <w:tc>
          <w:tcPr>
            <w:tcW w:w="848" w:type="dxa"/>
            <w:shd w:val="clear" w:color="auto" w:fill="auto"/>
          </w:tcPr>
          <w:p w14:paraId="13CFD2DB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8" w:name="_Toc494285646"/>
            <w:bookmarkStart w:id="9" w:name="_Toc495656882"/>
            <w:bookmarkStart w:id="10" w:name="_Toc495597283"/>
            <w:bookmarkStart w:id="11" w:name="_Toc494284926"/>
            <w:r>
              <w:rPr>
                <w:rFonts w:hint="eastAsia" w:ascii="楷体" w:hAnsi="楷体" w:eastAsia="楷体"/>
                <w:sz w:val="15"/>
                <w:szCs w:val="15"/>
              </w:rPr>
              <w:t>借款合同名称</w:t>
            </w:r>
            <w:bookmarkEnd w:id="8"/>
            <w:bookmarkEnd w:id="9"/>
            <w:bookmarkEnd w:id="10"/>
            <w:bookmarkEnd w:id="11"/>
          </w:p>
        </w:tc>
        <w:tc>
          <w:tcPr>
            <w:tcW w:w="939" w:type="dxa"/>
            <w:shd w:val="clear" w:color="auto" w:fill="auto"/>
          </w:tcPr>
          <w:p w14:paraId="46FB3EFF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12" w:name="_Toc495597284"/>
            <w:bookmarkStart w:id="13" w:name="_Toc494284927"/>
            <w:bookmarkStart w:id="14" w:name="_Toc494285647"/>
            <w:bookmarkStart w:id="15" w:name="_Toc495656883"/>
            <w:r>
              <w:rPr>
                <w:rFonts w:hint="eastAsia" w:ascii="楷体" w:hAnsi="楷体" w:eastAsia="楷体"/>
                <w:sz w:val="15"/>
                <w:szCs w:val="15"/>
              </w:rPr>
              <w:t>借款合同</w:t>
            </w:r>
            <w:r>
              <w:rPr>
                <w:rFonts w:ascii="楷体" w:hAnsi="楷体" w:eastAsia="楷体"/>
                <w:sz w:val="15"/>
                <w:szCs w:val="15"/>
              </w:rPr>
              <w:t>编号</w:t>
            </w:r>
            <w:bookmarkEnd w:id="12"/>
            <w:bookmarkEnd w:id="13"/>
            <w:bookmarkEnd w:id="14"/>
            <w:bookmarkEnd w:id="15"/>
          </w:p>
        </w:tc>
        <w:tc>
          <w:tcPr>
            <w:tcW w:w="600" w:type="dxa"/>
            <w:shd w:val="clear" w:color="auto" w:fill="auto"/>
          </w:tcPr>
          <w:p w14:paraId="3CA7F503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16" w:name="_Toc495656884"/>
            <w:bookmarkStart w:id="17" w:name="_Toc495597285"/>
            <w:bookmarkStart w:id="18" w:name="_Toc494284928"/>
            <w:bookmarkStart w:id="19" w:name="_Toc494285648"/>
            <w:r>
              <w:rPr>
                <w:rFonts w:hint="eastAsia" w:ascii="楷体" w:hAnsi="楷体" w:eastAsia="楷体"/>
                <w:sz w:val="15"/>
                <w:szCs w:val="15"/>
              </w:rPr>
              <w:t>担保人</w:t>
            </w:r>
            <w:bookmarkEnd w:id="16"/>
            <w:bookmarkEnd w:id="17"/>
            <w:bookmarkEnd w:id="18"/>
            <w:bookmarkEnd w:id="19"/>
          </w:p>
        </w:tc>
        <w:tc>
          <w:tcPr>
            <w:tcW w:w="587" w:type="dxa"/>
          </w:tcPr>
          <w:p w14:paraId="59BC7FE6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担保人</w:t>
            </w:r>
            <w:r>
              <w:rPr>
                <w:rFonts w:ascii="楷体" w:hAnsi="楷体" w:eastAsia="楷体"/>
                <w:sz w:val="15"/>
                <w:szCs w:val="15"/>
              </w:rPr>
              <w:t>所在地</w:t>
            </w:r>
          </w:p>
        </w:tc>
        <w:tc>
          <w:tcPr>
            <w:tcW w:w="574" w:type="dxa"/>
            <w:shd w:val="clear" w:color="auto" w:fill="auto"/>
          </w:tcPr>
          <w:p w14:paraId="2EDDA7D1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20" w:name="_Toc495597286"/>
            <w:bookmarkStart w:id="21" w:name="_Toc495656885"/>
            <w:bookmarkStart w:id="22" w:name="_Toc494284929"/>
            <w:bookmarkStart w:id="23" w:name="_Toc494285649"/>
            <w:r>
              <w:rPr>
                <w:rFonts w:hint="eastAsia" w:ascii="楷体" w:hAnsi="楷体" w:eastAsia="楷体"/>
                <w:sz w:val="15"/>
                <w:szCs w:val="15"/>
              </w:rPr>
              <w:t>担保合同名称</w:t>
            </w:r>
            <w:bookmarkEnd w:id="20"/>
            <w:bookmarkEnd w:id="21"/>
            <w:bookmarkEnd w:id="22"/>
            <w:bookmarkEnd w:id="23"/>
          </w:p>
        </w:tc>
        <w:tc>
          <w:tcPr>
            <w:tcW w:w="1644" w:type="dxa"/>
            <w:shd w:val="clear" w:color="auto" w:fill="auto"/>
          </w:tcPr>
          <w:p w14:paraId="0F8FA6B9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24" w:name="_Toc495597287"/>
            <w:bookmarkStart w:id="25" w:name="_Toc494284930"/>
            <w:bookmarkStart w:id="26" w:name="_Toc494285650"/>
            <w:bookmarkStart w:id="27" w:name="_Toc495656886"/>
            <w:r>
              <w:rPr>
                <w:rFonts w:hint="eastAsia" w:ascii="楷体" w:hAnsi="楷体" w:eastAsia="楷体"/>
                <w:sz w:val="15"/>
                <w:szCs w:val="15"/>
              </w:rPr>
              <w:t>担保合同</w:t>
            </w:r>
            <w:r>
              <w:rPr>
                <w:rFonts w:ascii="楷体" w:hAnsi="楷体" w:eastAsia="楷体"/>
                <w:sz w:val="15"/>
                <w:szCs w:val="15"/>
              </w:rPr>
              <w:t>编号</w:t>
            </w:r>
            <w:bookmarkEnd w:id="24"/>
            <w:bookmarkEnd w:id="25"/>
            <w:bookmarkEnd w:id="26"/>
            <w:bookmarkEnd w:id="27"/>
          </w:p>
        </w:tc>
        <w:tc>
          <w:tcPr>
            <w:tcW w:w="1200" w:type="dxa"/>
            <w:shd w:val="clear" w:color="auto" w:fill="auto"/>
          </w:tcPr>
          <w:p w14:paraId="75AFC351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28" w:name="_Toc494284931"/>
            <w:bookmarkStart w:id="29" w:name="_Toc494285651"/>
            <w:bookmarkStart w:id="30" w:name="_Toc495656887"/>
            <w:bookmarkStart w:id="31" w:name="_Toc495597288"/>
            <w:r>
              <w:rPr>
                <w:rFonts w:hint="eastAsia" w:ascii="楷体" w:hAnsi="楷体" w:eastAsia="楷体"/>
                <w:sz w:val="15"/>
                <w:szCs w:val="15"/>
              </w:rPr>
              <w:t>担保物</w:t>
            </w:r>
            <w:bookmarkEnd w:id="28"/>
            <w:bookmarkEnd w:id="29"/>
            <w:bookmarkEnd w:id="30"/>
            <w:bookmarkEnd w:id="31"/>
          </w:p>
        </w:tc>
        <w:tc>
          <w:tcPr>
            <w:tcW w:w="926" w:type="dxa"/>
            <w:shd w:val="clear" w:color="auto" w:fill="auto"/>
          </w:tcPr>
          <w:p w14:paraId="6619B1CE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32" w:name="_Toc494284932"/>
            <w:bookmarkStart w:id="33" w:name="_Toc494285652"/>
            <w:bookmarkStart w:id="34" w:name="_Toc495656888"/>
            <w:bookmarkStart w:id="35" w:name="_Toc495597289"/>
            <w:r>
              <w:rPr>
                <w:rFonts w:hint="eastAsia" w:ascii="楷体" w:hAnsi="楷体" w:eastAsia="楷体"/>
                <w:sz w:val="15"/>
                <w:szCs w:val="15"/>
              </w:rPr>
              <w:t>基准日</w:t>
            </w:r>
            <w:r>
              <w:rPr>
                <w:rFonts w:ascii="楷体" w:hAnsi="楷体" w:eastAsia="楷体"/>
                <w:sz w:val="15"/>
                <w:szCs w:val="15"/>
              </w:rPr>
              <w:t>债权余额</w:t>
            </w:r>
            <w:bookmarkEnd w:id="32"/>
            <w:bookmarkEnd w:id="33"/>
            <w:bookmarkEnd w:id="34"/>
            <w:bookmarkEnd w:id="35"/>
          </w:p>
        </w:tc>
        <w:tc>
          <w:tcPr>
            <w:tcW w:w="874" w:type="dxa"/>
            <w:shd w:val="clear" w:color="auto" w:fill="auto"/>
          </w:tcPr>
          <w:p w14:paraId="613BD8E7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36" w:name="_Toc494285653"/>
            <w:bookmarkStart w:id="37" w:name="_Toc495656889"/>
            <w:bookmarkStart w:id="38" w:name="_Toc495597290"/>
            <w:bookmarkStart w:id="39" w:name="_Toc494284933"/>
            <w:r>
              <w:rPr>
                <w:rFonts w:hint="eastAsia" w:ascii="楷体" w:hAnsi="楷体" w:eastAsia="楷体"/>
                <w:sz w:val="15"/>
                <w:szCs w:val="15"/>
              </w:rPr>
              <w:t>基准日</w:t>
            </w:r>
            <w:r>
              <w:rPr>
                <w:rFonts w:ascii="楷体" w:hAnsi="楷体" w:eastAsia="楷体"/>
                <w:sz w:val="15"/>
                <w:szCs w:val="15"/>
              </w:rPr>
              <w:t>本金余额</w:t>
            </w:r>
            <w:bookmarkEnd w:id="36"/>
            <w:bookmarkEnd w:id="37"/>
            <w:bookmarkEnd w:id="38"/>
            <w:bookmarkEnd w:id="39"/>
          </w:p>
        </w:tc>
        <w:tc>
          <w:tcPr>
            <w:tcW w:w="992" w:type="dxa"/>
            <w:shd w:val="clear" w:color="auto" w:fill="auto"/>
          </w:tcPr>
          <w:p w14:paraId="45D82A20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40" w:name="_Toc494284934"/>
            <w:bookmarkStart w:id="41" w:name="_Toc494285654"/>
            <w:bookmarkStart w:id="42" w:name="_Toc495597291"/>
            <w:bookmarkStart w:id="43" w:name="_Toc495656890"/>
            <w:r>
              <w:rPr>
                <w:rFonts w:hint="eastAsia" w:ascii="楷体" w:hAnsi="楷体" w:eastAsia="楷体"/>
                <w:sz w:val="15"/>
                <w:szCs w:val="15"/>
              </w:rPr>
              <w:t>基准日</w:t>
            </w:r>
            <w:r>
              <w:rPr>
                <w:rFonts w:ascii="楷体" w:hAnsi="楷体" w:eastAsia="楷体"/>
                <w:sz w:val="15"/>
                <w:szCs w:val="15"/>
              </w:rPr>
              <w:t>利息余额</w:t>
            </w:r>
            <w:bookmarkEnd w:id="40"/>
            <w:bookmarkEnd w:id="41"/>
            <w:bookmarkEnd w:id="42"/>
            <w:bookmarkEnd w:id="43"/>
          </w:p>
        </w:tc>
      </w:tr>
      <w:tr w14:paraId="6FEA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4214BF3C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sz w:val="15"/>
                <w:szCs w:val="15"/>
              </w:rPr>
            </w:pPr>
            <w:bookmarkStart w:id="44" w:name="_Toc495656892"/>
            <w:bookmarkStart w:id="45" w:name="_Toc494285656"/>
            <w:bookmarkStart w:id="46" w:name="_Toc495597293"/>
            <w:bookmarkStart w:id="47" w:name="_Toc494284936"/>
            <w:r>
              <w:rPr>
                <w:rFonts w:hint="eastAsia" w:ascii="楷体" w:hAnsi="楷体" w:eastAsia="楷体"/>
                <w:sz w:val="15"/>
                <w:szCs w:val="15"/>
              </w:rPr>
              <w:t>1</w:t>
            </w:r>
            <w:bookmarkEnd w:id="44"/>
            <w:bookmarkEnd w:id="45"/>
            <w:bookmarkEnd w:id="46"/>
            <w:bookmarkEnd w:id="47"/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79DCD52F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邢台钢铁有限责任公司</w:t>
            </w:r>
          </w:p>
        </w:tc>
        <w:tc>
          <w:tcPr>
            <w:tcW w:w="652" w:type="dxa"/>
            <w:vMerge w:val="restart"/>
            <w:vAlign w:val="center"/>
          </w:tcPr>
          <w:p w14:paraId="57B2700F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ascii="楷体" w:hAnsi="楷体" w:eastAsia="楷体"/>
                <w:sz w:val="15"/>
                <w:szCs w:val="15"/>
              </w:rPr>
              <w:t>邢台市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590F4646">
            <w:pPr>
              <w:pStyle w:val="4"/>
              <w:widowControl w:val="0"/>
              <w:tabs>
                <w:tab w:val="left" w:pos="4680"/>
              </w:tabs>
              <w:snapToGrid w:val="0"/>
              <w:spacing w:line="160" w:lineRule="exact"/>
              <w:jc w:val="center"/>
              <w:rPr>
                <w:rFonts w:ascii="楷体" w:hAnsi="楷体" w:eastAsia="楷体"/>
                <w:kern w:val="2"/>
                <w:sz w:val="15"/>
                <w:szCs w:val="15"/>
              </w:rPr>
            </w:pPr>
            <w:r>
              <w:rPr>
                <w:rFonts w:hint="eastAsia" w:ascii="楷体" w:hAnsi="楷体" w:eastAsia="楷体"/>
                <w:kern w:val="2"/>
                <w:sz w:val="15"/>
                <w:szCs w:val="15"/>
              </w:rPr>
              <w:t>流动资金借款合同、授信额度协议、商业汇票承兑协议、</w:t>
            </w:r>
          </w:p>
          <w:p w14:paraId="5A4B9634">
            <w:pPr>
              <w:pStyle w:val="4"/>
              <w:widowControl w:val="0"/>
              <w:tabs>
                <w:tab w:val="left" w:pos="4680"/>
              </w:tabs>
              <w:spacing w:line="160" w:lineRule="exact"/>
              <w:jc w:val="center"/>
              <w:rPr>
                <w:rFonts w:ascii="楷体" w:hAnsi="楷体" w:eastAsia="楷体"/>
                <w:kern w:val="2"/>
                <w:sz w:val="15"/>
                <w:szCs w:val="15"/>
              </w:rPr>
            </w:pPr>
            <w:r>
              <w:rPr>
                <w:rFonts w:hint="eastAsia" w:ascii="楷体" w:hAnsi="楷体" w:eastAsia="楷体"/>
                <w:kern w:val="2"/>
                <w:sz w:val="15"/>
                <w:szCs w:val="15"/>
              </w:rPr>
              <w:t>授信额度协议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AA9130C">
            <w:pPr>
              <w:pStyle w:val="4"/>
              <w:widowControl w:val="0"/>
              <w:tabs>
                <w:tab w:val="left" w:pos="4680"/>
              </w:tabs>
              <w:wordWrap w:val="0"/>
              <w:snapToGrid w:val="0"/>
              <w:spacing w:line="160" w:lineRule="exact"/>
              <w:jc w:val="center"/>
              <w:rPr>
                <w:rFonts w:ascii="楷体" w:hAnsi="楷体" w:eastAsia="楷体"/>
                <w:kern w:val="2"/>
                <w:sz w:val="15"/>
                <w:szCs w:val="15"/>
              </w:rPr>
            </w:pPr>
            <w:r>
              <w:rPr>
                <w:rFonts w:hint="eastAsia" w:ascii="楷体" w:hAnsi="楷体" w:eastAsia="楷体"/>
                <w:kern w:val="2"/>
                <w:sz w:val="15"/>
                <w:szCs w:val="15"/>
              </w:rPr>
              <w:t>冀-11-2020-108、冀-11-2020-139、冀-11-2020-141、冀-11-2020-153、冀-11-2020-162、冀-11-2020-163、冀-11-2021-003、冀-11-2021-004、冀-11-2021-005、</w:t>
            </w:r>
          </w:p>
          <w:p w14:paraId="2CC8ECC7">
            <w:pPr>
              <w:pStyle w:val="4"/>
              <w:widowControl w:val="0"/>
              <w:tabs>
                <w:tab w:val="left" w:pos="4680"/>
              </w:tabs>
              <w:wordWrap w:val="0"/>
              <w:spacing w:line="160" w:lineRule="exact"/>
              <w:jc w:val="center"/>
              <w:rPr>
                <w:rFonts w:ascii="楷体" w:hAnsi="楷体" w:eastAsia="楷体"/>
                <w:kern w:val="2"/>
                <w:sz w:val="15"/>
                <w:szCs w:val="15"/>
              </w:rPr>
            </w:pPr>
            <w:r>
              <w:rPr>
                <w:rFonts w:hint="eastAsia" w:ascii="楷体" w:hAnsi="楷体" w:eastAsia="楷体"/>
                <w:kern w:val="2"/>
                <w:sz w:val="15"/>
                <w:szCs w:val="15"/>
              </w:rPr>
              <w:t>冀-11-2020-139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290B99E5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邢台钢铁有限责任公司</w:t>
            </w:r>
          </w:p>
        </w:tc>
        <w:tc>
          <w:tcPr>
            <w:tcW w:w="587" w:type="dxa"/>
            <w:vMerge w:val="restart"/>
            <w:vAlign w:val="center"/>
          </w:tcPr>
          <w:p w14:paraId="619644CC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邢台市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041473B0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最高额抵押合同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2EEEFB33">
            <w:pPr>
              <w:adjustRightInd w:val="0"/>
              <w:snapToGrid w:val="0"/>
              <w:jc w:val="center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冀-11-2019-110（抵）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2D544497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邢台钢铁有限责任公司名下位于邢台市钢铁南路262号146处房产及对应土地（房产面积：171454.90 ㎡，对应土地使用权面积：814570.27㎡）提供抵押。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1DD54A5">
            <w:pPr>
              <w:widowControl/>
              <w:wordWrap w:val="0"/>
              <w:spacing w:line="200" w:lineRule="exact"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/>
                <w:sz w:val="15"/>
                <w:szCs w:val="15"/>
              </w:rPr>
              <w:t>423,353,556.18</w:t>
            </w:r>
            <w:r>
              <w:rPr>
                <w:rFonts w:hint="eastAsia" w:ascii="楷体" w:hAnsi="楷体" w:eastAsia="楷体"/>
                <w:sz w:val="15"/>
                <w:szCs w:val="15"/>
              </w:rPr>
              <w:t>元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103AA4D">
            <w:pPr>
              <w:wordWrap w:val="0"/>
              <w:adjustRightInd w:val="0"/>
              <w:snapToGrid w:val="0"/>
              <w:spacing w:line="200" w:lineRule="exact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284,060,528.74元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81405">
            <w:pPr>
              <w:wordWrap w:val="0"/>
              <w:adjustRightInd w:val="0"/>
              <w:snapToGrid w:val="0"/>
              <w:spacing w:line="200" w:lineRule="exact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139,293,027.44元</w:t>
            </w:r>
          </w:p>
        </w:tc>
      </w:tr>
      <w:tr w14:paraId="24AC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18" w:type="dxa"/>
            <w:vMerge w:val="continue"/>
            <w:shd w:val="clear" w:color="auto" w:fill="auto"/>
            <w:vAlign w:val="center"/>
          </w:tcPr>
          <w:p w14:paraId="40DE893D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vMerge w:val="continue"/>
            <w:shd w:val="clear" w:color="auto" w:fill="auto"/>
          </w:tcPr>
          <w:p w14:paraId="0F036A45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652" w:type="dxa"/>
            <w:vMerge w:val="continue"/>
          </w:tcPr>
          <w:p w14:paraId="692D4B94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 w14:paraId="735F9C3A">
            <w:pPr>
              <w:pStyle w:val="4"/>
              <w:widowControl w:val="0"/>
              <w:tabs>
                <w:tab w:val="left" w:pos="4680"/>
              </w:tabs>
              <w:spacing w:line="160" w:lineRule="exact"/>
              <w:jc w:val="center"/>
              <w:rPr>
                <w:rFonts w:ascii="楷体" w:hAnsi="楷体" w:eastAsia="楷体"/>
                <w:kern w:val="2"/>
                <w:sz w:val="15"/>
                <w:szCs w:val="15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5FACE4C2">
            <w:pPr>
              <w:pStyle w:val="4"/>
              <w:widowControl w:val="0"/>
              <w:tabs>
                <w:tab w:val="left" w:pos="4680"/>
              </w:tabs>
              <w:spacing w:line="160" w:lineRule="exact"/>
              <w:jc w:val="center"/>
              <w:rPr>
                <w:rFonts w:ascii="楷体" w:hAnsi="楷体" w:eastAsia="楷体"/>
                <w:kern w:val="2"/>
                <w:sz w:val="15"/>
                <w:szCs w:val="15"/>
              </w:rPr>
            </w:pPr>
          </w:p>
        </w:tc>
        <w:tc>
          <w:tcPr>
            <w:tcW w:w="600" w:type="dxa"/>
            <w:vMerge w:val="continue"/>
            <w:shd w:val="clear" w:color="auto" w:fill="auto"/>
          </w:tcPr>
          <w:p w14:paraId="5FB3C2A8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587" w:type="dxa"/>
            <w:vMerge w:val="continue"/>
          </w:tcPr>
          <w:p w14:paraId="1DEFBF03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574" w:type="dxa"/>
            <w:vMerge w:val="continue"/>
            <w:shd w:val="clear" w:color="auto" w:fill="auto"/>
          </w:tcPr>
          <w:p w14:paraId="1F297445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1644" w:type="dxa"/>
            <w:vMerge w:val="continue"/>
            <w:shd w:val="clear" w:color="auto" w:fill="auto"/>
          </w:tcPr>
          <w:p w14:paraId="6C2A2B13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1200" w:type="dxa"/>
            <w:vMerge w:val="continue"/>
            <w:shd w:val="clear" w:color="auto" w:fill="auto"/>
          </w:tcPr>
          <w:p w14:paraId="23D51BF1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2D6CA03B">
            <w:pPr>
              <w:widowControl/>
              <w:wordWrap w:val="0"/>
              <w:spacing w:line="200" w:lineRule="exact"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/>
                <w:sz w:val="15"/>
                <w:szCs w:val="15"/>
              </w:rPr>
              <w:t>9,186,436.84</w:t>
            </w:r>
            <w:r>
              <w:rPr>
                <w:rFonts w:hint="eastAsia" w:ascii="楷体" w:hAnsi="楷体" w:eastAsia="楷体"/>
                <w:sz w:val="15"/>
                <w:szCs w:val="15"/>
              </w:rPr>
              <w:t>美元（折人民币65,762,026.76元）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07CCD1A">
            <w:pPr>
              <w:wordWrap w:val="0"/>
              <w:adjustRightInd w:val="0"/>
              <w:snapToGrid w:val="0"/>
              <w:spacing w:line="200" w:lineRule="exact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7,749,866.00美元(折人民币55,478,190.75元)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8AB36">
            <w:pPr>
              <w:wordWrap w:val="0"/>
              <w:adjustRightInd w:val="0"/>
              <w:snapToGrid w:val="0"/>
              <w:spacing w:line="200" w:lineRule="exact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1,436,570.84美元（折人民币10,283,836.02元）</w:t>
            </w:r>
          </w:p>
        </w:tc>
      </w:tr>
      <w:tr w14:paraId="146B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418" w:type="dxa"/>
            <w:shd w:val="clear" w:color="auto" w:fill="auto"/>
            <w:vAlign w:val="center"/>
          </w:tcPr>
          <w:p w14:paraId="1910CEC7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2</w:t>
            </w:r>
          </w:p>
        </w:tc>
        <w:tc>
          <w:tcPr>
            <w:tcW w:w="443" w:type="dxa"/>
            <w:vMerge w:val="continue"/>
            <w:shd w:val="clear" w:color="auto" w:fill="auto"/>
          </w:tcPr>
          <w:p w14:paraId="0E69A0DC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652" w:type="dxa"/>
            <w:vMerge w:val="continue"/>
          </w:tcPr>
          <w:p w14:paraId="15D2DE46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85494D1">
            <w:pPr>
              <w:pStyle w:val="4"/>
              <w:widowControl w:val="0"/>
              <w:tabs>
                <w:tab w:val="left" w:pos="4680"/>
              </w:tabs>
              <w:spacing w:line="160" w:lineRule="exact"/>
              <w:jc w:val="center"/>
              <w:rPr>
                <w:rFonts w:ascii="楷体" w:hAnsi="楷体" w:eastAsia="楷体"/>
                <w:kern w:val="2"/>
                <w:sz w:val="15"/>
                <w:szCs w:val="15"/>
              </w:rPr>
            </w:pPr>
            <w:r>
              <w:rPr>
                <w:rFonts w:hint="eastAsia" w:ascii="楷体" w:hAnsi="楷体" w:eastAsia="楷体"/>
                <w:kern w:val="2"/>
                <w:sz w:val="15"/>
                <w:szCs w:val="15"/>
              </w:rPr>
              <w:t>债务重组协议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EFD75B0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68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ascii="楷体" w:hAnsi="楷体" w:eastAsia="楷体"/>
                <w:kern w:val="2"/>
                <w:sz w:val="15"/>
                <w:szCs w:val="15"/>
              </w:rPr>
            </w:pPr>
            <w:r>
              <w:rPr>
                <w:rFonts w:hint="eastAsia" w:ascii="楷体" w:hAnsi="楷体" w:eastAsia="楷体"/>
                <w:kern w:val="2"/>
                <w:sz w:val="15"/>
                <w:szCs w:val="15"/>
              </w:rPr>
              <w:t>COAMC冀-2018-A-05-02、COAMC冀-2018-A-05-02-补-01、COAMC冀-2018-A-05-02-补-02、COAMC冀-2018-A-05-02-补-03、COAMC冀-2018-A-05-02-补-04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F278E90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邢台钢铁有限责任公司、邢台钢铁不锈钢有限责任公司、河北邢钢科技有限公司</w:t>
            </w:r>
          </w:p>
        </w:tc>
        <w:tc>
          <w:tcPr>
            <w:tcW w:w="587" w:type="dxa"/>
            <w:vAlign w:val="center"/>
          </w:tcPr>
          <w:p w14:paraId="3F7D2660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邢台市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06DEC67">
            <w:pPr>
              <w:adjustRightInd w:val="0"/>
              <w:snapToGrid w:val="0"/>
              <w:spacing w:after="312" w:afterLines="100"/>
              <w:jc w:val="center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抵押协议及补充协议</w:t>
            </w:r>
          </w:p>
        </w:tc>
        <w:tc>
          <w:tcPr>
            <w:tcW w:w="1644" w:type="dxa"/>
            <w:shd w:val="clear" w:color="auto" w:fill="auto"/>
          </w:tcPr>
          <w:p w14:paraId="2C7932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/>
              <w:textAlignment w:val="auto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COAMC冀-2018-A-05-03-02、COAMC冀-2018-A-05-03-02-补-01、COAMC冀-2018-A-05-03-02-补-02、COAMC冀-2018-A-05-03-02-补-03、COAMC冀-2018-A-05-03-01、COAMC冀-2018-A-05-03-01-补-01、COAMC冀-2018-A-05-03-01-补-02、COAMC冀-2018-A-05-03-01-补-03、COAMC冀-2018-A-05-03-01-补-04、COAMC冀-2018-A-05-03-01-补-05</w:t>
            </w:r>
          </w:p>
        </w:tc>
        <w:tc>
          <w:tcPr>
            <w:tcW w:w="1200" w:type="dxa"/>
            <w:shd w:val="clear" w:color="auto" w:fill="auto"/>
          </w:tcPr>
          <w:p w14:paraId="609597B4">
            <w:pPr>
              <w:adjustRightInd w:val="0"/>
              <w:snapToGrid w:val="0"/>
              <w:spacing w:after="312" w:afterLines="100"/>
              <w:outlineLvl w:val="0"/>
              <w:rPr>
                <w:rFonts w:ascii="楷体" w:hAnsi="楷体" w:eastAsia="楷体"/>
                <w:color w:val="FF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邢台钢铁有限责任公司位于邢台市钢铁南路262号工业房产23,885.47 平方米及对应土地使用权提供抵押；邢台钢铁不锈钢有限责任公司名下32项（47）台（套）不锈钢生产设备提供抵押。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4ECC23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318,198,618.11元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680E865">
            <w:pPr>
              <w:widowControl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188,281,830.77元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392C8">
            <w:pPr>
              <w:widowControl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129,916,787.34元</w:t>
            </w:r>
          </w:p>
        </w:tc>
      </w:tr>
    </w:tbl>
    <w:p w14:paraId="77FF67E7">
      <w:bookmarkStart w:id="48" w:name="_GoBack"/>
      <w:bookmarkEnd w:id="4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Justified)"/>
    <w:basedOn w:val="1"/>
    <w:qFormat/>
    <w:uiPriority w:val="0"/>
    <w:pPr>
      <w:widowControl/>
    </w:pPr>
    <w:rPr>
      <w:kern w:val="28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2025-07-14T02:06:06Z</dcterms:created>
  <dc:creator>gaokangkang</dc:creator>
  <cp:lastModifiedBy>高康康</cp:lastModifiedBy>
  <dcterms:modified xsi:type="dcterms:W3CDTF">2025-07-14T02:06:13Z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B0FBA1FFD32C48B98F4D29ADECE81F26_12</vt:lpwstr>
  </property>
</Properties>
</file>