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94CA7">
      <w:pPr>
        <w:autoSpaceDE w:val="0"/>
        <w:autoSpaceDN w:val="0"/>
        <w:adjustRightInd w:val="0"/>
        <w:snapToGrid w:val="0"/>
        <w:spacing w:line="320" w:lineRule="exact"/>
        <w:jc w:val="center"/>
        <w:rPr>
          <w:rFonts w:ascii="楷体_GB2312" w:hAnsi="宋体" w:eastAsia="楷体_GB2312" w:cs="华文楷体"/>
          <w:b/>
          <w:kern w:val="0"/>
          <w:sz w:val="30"/>
          <w:szCs w:val="30"/>
        </w:rPr>
      </w:pPr>
      <w:r>
        <w:rPr>
          <w:rFonts w:hint="eastAsia" w:ascii="楷体_GB2312" w:hAnsi="宋体" w:eastAsia="楷体_GB2312" w:cs="华文楷体"/>
          <w:b/>
          <w:kern w:val="0"/>
          <w:sz w:val="30"/>
          <w:szCs w:val="30"/>
        </w:rPr>
        <w:t>中国东方资产管理股份</w:t>
      </w:r>
      <w:r>
        <w:rPr>
          <w:rFonts w:ascii="楷体_GB2312" w:hAnsi="宋体" w:eastAsia="楷体_GB2312" w:cs="华文楷体"/>
          <w:b/>
          <w:kern w:val="0"/>
          <w:sz w:val="30"/>
          <w:szCs w:val="30"/>
        </w:rPr>
        <w:t>有限</w:t>
      </w:r>
      <w:r>
        <w:rPr>
          <w:rFonts w:hint="eastAsia" w:ascii="楷体_GB2312" w:hAnsi="宋体" w:eastAsia="楷体_GB2312" w:cs="华文楷体"/>
          <w:b/>
          <w:kern w:val="0"/>
          <w:sz w:val="30"/>
          <w:szCs w:val="30"/>
        </w:rPr>
        <w:t>公司陕西省</w:t>
      </w:r>
      <w:r>
        <w:rPr>
          <w:rFonts w:ascii="楷体_GB2312" w:hAnsi="宋体" w:eastAsia="楷体_GB2312" w:cs="华文楷体"/>
          <w:b/>
          <w:kern w:val="0"/>
          <w:sz w:val="30"/>
          <w:szCs w:val="30"/>
        </w:rPr>
        <w:t>分公司</w:t>
      </w:r>
    </w:p>
    <w:p w14:paraId="35BE801B">
      <w:pPr>
        <w:autoSpaceDE w:val="0"/>
        <w:autoSpaceDN w:val="0"/>
        <w:adjustRightInd w:val="0"/>
        <w:snapToGrid w:val="0"/>
        <w:spacing w:line="320" w:lineRule="exact"/>
        <w:jc w:val="center"/>
        <w:rPr>
          <w:rFonts w:ascii="楷体_GB2312" w:hAnsi="宋体" w:eastAsia="楷体_GB2312" w:cs="华文楷体"/>
          <w:b/>
          <w:kern w:val="0"/>
          <w:sz w:val="30"/>
          <w:szCs w:val="30"/>
        </w:rPr>
      </w:pPr>
      <w:r>
        <w:rPr>
          <w:rFonts w:hint="eastAsia" w:ascii="楷体_GB2312" w:hAnsi="宋体" w:eastAsia="楷体_GB2312" w:cs="华文楷体"/>
          <w:b/>
          <w:kern w:val="0"/>
          <w:sz w:val="30"/>
          <w:szCs w:val="30"/>
        </w:rPr>
        <w:t>债权重组的公告</w:t>
      </w:r>
    </w:p>
    <w:p w14:paraId="684552B0">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中国东方资产管理股份有限公司陕西省分公司（以下称为“东方”）拟以重组的方式进行处置以下资产（以下称为“标的资产”）。</w:t>
      </w:r>
    </w:p>
    <w:p w14:paraId="468223B2">
      <w:pPr>
        <w:spacing w:before="156" w:line="360" w:lineRule="exact"/>
        <w:ind w:firstLine="480" w:firstLineChars="200"/>
        <w:rPr>
          <w:rFonts w:hint="eastAsia" w:ascii="楷体_GB2312" w:hAnsi="宋体" w:eastAsia="楷体_GB2312"/>
          <w:sz w:val="24"/>
        </w:rPr>
      </w:pPr>
      <w:r>
        <w:rPr>
          <w:rFonts w:hint="eastAsia" w:ascii="楷体_GB2312" w:hAnsi="宋体" w:eastAsia="楷体_GB2312"/>
          <w:sz w:val="24"/>
        </w:rPr>
        <w:t>对陕西省榆林</w:t>
      </w:r>
      <w:r>
        <w:rPr>
          <w:rFonts w:ascii="楷体_GB2312" w:hAnsi="宋体" w:eastAsia="楷体_GB2312"/>
          <w:sz w:val="24"/>
        </w:rPr>
        <w:t>市</w:t>
      </w:r>
      <w:r>
        <w:rPr>
          <w:rFonts w:hint="eastAsia" w:ascii="楷体_GB2312" w:hAnsi="宋体" w:eastAsia="楷体_GB2312"/>
          <w:sz w:val="24"/>
        </w:rPr>
        <w:t>境内靖边县富华商贸有限公司</w:t>
      </w:r>
      <w:r>
        <w:rPr>
          <w:rFonts w:ascii="楷体_GB2312" w:hAnsi="宋体" w:eastAsia="楷体_GB2312"/>
          <w:sz w:val="24"/>
        </w:rPr>
        <w:t>债务人</w:t>
      </w:r>
      <w:r>
        <w:rPr>
          <w:rFonts w:hint="eastAsia" w:ascii="楷体_GB2312" w:hAnsi="宋体" w:eastAsia="楷体_GB2312"/>
          <w:sz w:val="24"/>
        </w:rPr>
        <w:t>所享有的债权及其附属担保权益，该等</w:t>
      </w:r>
      <w:r>
        <w:rPr>
          <w:rFonts w:ascii="楷体_GB2312" w:hAnsi="宋体" w:eastAsia="楷体_GB2312"/>
          <w:sz w:val="24"/>
        </w:rPr>
        <w:t>债权及其附属担保权益的</w:t>
      </w:r>
      <w:r>
        <w:rPr>
          <w:rFonts w:hint="eastAsia" w:ascii="楷体_GB2312" w:hAnsi="宋体" w:eastAsia="楷体_GB2312"/>
          <w:sz w:val="24"/>
        </w:rPr>
        <w:t>所</w:t>
      </w:r>
      <w:r>
        <w:rPr>
          <w:rFonts w:ascii="楷体_GB2312" w:hAnsi="宋体" w:eastAsia="楷体_GB2312"/>
          <w:sz w:val="24"/>
        </w:rPr>
        <w:t>有人</w:t>
      </w:r>
      <w:r>
        <w:rPr>
          <w:rFonts w:hint="eastAsia" w:ascii="楷体_GB2312" w:hAnsi="宋体" w:eastAsia="楷体_GB2312"/>
          <w:sz w:val="24"/>
        </w:rPr>
        <w:t>为东方，截至2</w:t>
      </w:r>
      <w:r>
        <w:rPr>
          <w:rFonts w:ascii="楷体_GB2312" w:hAnsi="宋体" w:eastAsia="楷体_GB2312"/>
          <w:sz w:val="24"/>
        </w:rPr>
        <w:t>025</w:t>
      </w:r>
      <w:r>
        <w:rPr>
          <w:rFonts w:hint="eastAsia" w:ascii="楷体_GB2312" w:hAnsi="宋体" w:eastAsia="楷体_GB2312"/>
          <w:sz w:val="24"/>
        </w:rPr>
        <w:t>年2月2</w:t>
      </w:r>
      <w:r>
        <w:rPr>
          <w:rFonts w:ascii="楷体_GB2312" w:hAnsi="宋体" w:eastAsia="楷体_GB2312"/>
          <w:sz w:val="24"/>
        </w:rPr>
        <w:t>0</w:t>
      </w:r>
      <w:r>
        <w:rPr>
          <w:rFonts w:hint="eastAsia" w:ascii="楷体_GB2312" w:hAnsi="宋体" w:eastAsia="楷体_GB2312"/>
          <w:sz w:val="24"/>
        </w:rPr>
        <w:t>日，该等债权</w:t>
      </w:r>
      <w:r>
        <w:rPr>
          <w:rFonts w:ascii="楷体_GB2312" w:hAnsi="宋体" w:eastAsia="楷体_GB2312"/>
          <w:sz w:val="24"/>
        </w:rPr>
        <w:t>项下</w:t>
      </w:r>
      <w:r>
        <w:rPr>
          <w:rFonts w:hint="eastAsia" w:ascii="楷体_GB2312" w:hAnsi="宋体" w:eastAsia="楷体_GB2312"/>
          <w:sz w:val="24"/>
        </w:rPr>
        <w:t>未偿本息合计人民币3</w:t>
      </w:r>
      <w:r>
        <w:rPr>
          <w:rFonts w:ascii="楷体_GB2312" w:hAnsi="宋体" w:eastAsia="楷体_GB2312"/>
          <w:sz w:val="24"/>
        </w:rPr>
        <w:t>873.71</w:t>
      </w:r>
      <w:r>
        <w:rPr>
          <w:rFonts w:hint="eastAsia" w:ascii="楷体_GB2312" w:hAnsi="宋体" w:eastAsia="楷体_GB2312"/>
          <w:sz w:val="24"/>
        </w:rPr>
        <w:t>万元，其中未偿本金人民币</w:t>
      </w:r>
      <w:r>
        <w:rPr>
          <w:rFonts w:ascii="楷体_GB2312" w:hAnsi="宋体" w:eastAsia="楷体_GB2312"/>
          <w:sz w:val="24"/>
        </w:rPr>
        <w:t>2146.27</w:t>
      </w:r>
      <w:r>
        <w:rPr>
          <w:rFonts w:hint="eastAsia" w:ascii="楷体_GB2312" w:hAnsi="宋体" w:eastAsia="楷体_GB2312"/>
          <w:sz w:val="24"/>
        </w:rPr>
        <w:t>万元，未偿利息人民币</w:t>
      </w:r>
      <w:r>
        <w:rPr>
          <w:rFonts w:ascii="楷体_GB2312" w:hAnsi="宋体" w:eastAsia="楷体_GB2312"/>
          <w:sz w:val="24"/>
        </w:rPr>
        <w:t>1727.44</w:t>
      </w:r>
      <w:r>
        <w:rPr>
          <w:rFonts w:hint="eastAsia" w:ascii="楷体_GB2312" w:hAnsi="宋体" w:eastAsia="楷体_GB2312"/>
          <w:sz w:val="24"/>
        </w:rPr>
        <w:t>万元；</w:t>
      </w:r>
    </w:p>
    <w:p w14:paraId="05B1F12B">
      <w:pPr>
        <w:spacing w:before="156" w:line="360" w:lineRule="exact"/>
        <w:ind w:firstLine="480" w:firstLineChars="200"/>
        <w:rPr>
          <w:rFonts w:hint="eastAsia" w:ascii="楷体_GB2312" w:hAnsi="宋体" w:eastAsia="楷体_GB2312"/>
          <w:sz w:val="24"/>
          <w:lang w:val="en-US" w:eastAsia="zh-CN"/>
        </w:rPr>
      </w:pPr>
      <w:r>
        <w:rPr>
          <w:rFonts w:hint="eastAsia" w:ascii="楷体_GB2312" w:hAnsi="宋体" w:eastAsia="楷体_GB2312"/>
          <w:sz w:val="24"/>
          <w:lang w:val="en-US" w:eastAsia="zh-CN"/>
        </w:rPr>
        <w:t>本次</w:t>
      </w:r>
      <w:r>
        <w:rPr>
          <w:rFonts w:hint="eastAsia" w:ascii="楷体_GB2312" w:hAnsi="宋体" w:eastAsia="楷体_GB2312"/>
          <w:sz w:val="24"/>
        </w:rPr>
        <w:t>拟以重组</w:t>
      </w:r>
      <w:r>
        <w:rPr>
          <w:rFonts w:hint="eastAsia" w:ascii="楷体_GB2312" w:hAnsi="宋体" w:eastAsia="楷体_GB2312"/>
          <w:sz w:val="24"/>
          <w:lang w:eastAsia="zh-CN"/>
        </w:rPr>
        <w:t>方式进行</w:t>
      </w:r>
      <w:r>
        <w:rPr>
          <w:rFonts w:hint="eastAsia" w:ascii="楷体_GB2312" w:hAnsi="宋体" w:eastAsia="楷体_GB2312"/>
          <w:sz w:val="24"/>
          <w:lang w:val="en-US" w:eastAsia="zh-CN"/>
        </w:rPr>
        <w:t>处置，本次重组价格及重组期限可与下文联系人获取。有受让意向者请速与我分公司联系商洽。任何对本处置项目有疑问或异议者均可提出征询或异议，征询或异议的有效期限为自发布之日起5个工作日。</w:t>
      </w:r>
      <w:bookmarkStart w:id="45" w:name="_GoBack"/>
      <w:bookmarkEnd w:id="45"/>
    </w:p>
    <w:p w14:paraId="09A043E0">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标的资产</w:t>
      </w:r>
      <w:r>
        <w:rPr>
          <w:rFonts w:ascii="楷体_GB2312" w:hAnsi="宋体" w:eastAsia="楷体_GB2312"/>
          <w:sz w:val="24"/>
        </w:rPr>
        <w:t>具体情况</w:t>
      </w:r>
      <w:r>
        <w:rPr>
          <w:rFonts w:hint="eastAsia" w:ascii="楷体_GB2312" w:hAnsi="宋体" w:eastAsia="楷体_GB2312"/>
          <w:sz w:val="24"/>
        </w:rPr>
        <w:t>详见</w:t>
      </w:r>
      <w:r>
        <w:rPr>
          <w:rFonts w:ascii="楷体_GB2312" w:hAnsi="宋体" w:eastAsia="楷体_GB2312"/>
          <w:sz w:val="24"/>
        </w:rPr>
        <w:t>附件。</w:t>
      </w:r>
    </w:p>
    <w:p w14:paraId="6458A48A">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特别提示：标的资产信息仅供投资者参考。就标的资产</w:t>
      </w:r>
      <w:r>
        <w:rPr>
          <w:rFonts w:ascii="楷体_GB2312" w:hAnsi="宋体" w:eastAsia="楷体_GB2312"/>
          <w:sz w:val="24"/>
        </w:rPr>
        <w:t>项下</w:t>
      </w:r>
      <w:r>
        <w:rPr>
          <w:rFonts w:hint="eastAsia" w:ascii="楷体_GB2312" w:hAnsi="宋体" w:eastAsia="楷体_GB2312"/>
          <w:sz w:val="24"/>
        </w:rPr>
        <w:t>各笔债权及其附属担保权益的合法</w:t>
      </w:r>
      <w:r>
        <w:rPr>
          <w:rFonts w:ascii="楷体_GB2312" w:hAnsi="宋体" w:eastAsia="楷体_GB2312"/>
          <w:sz w:val="24"/>
        </w:rPr>
        <w:t>有效性</w:t>
      </w:r>
      <w:r>
        <w:rPr>
          <w:rFonts w:hint="eastAsia" w:ascii="楷体_GB2312" w:hAnsi="宋体" w:eastAsia="楷体_GB2312"/>
          <w:sz w:val="24"/>
        </w:rPr>
        <w:t>及</w:t>
      </w:r>
      <w:r>
        <w:rPr>
          <w:rFonts w:ascii="楷体_GB2312" w:hAnsi="宋体" w:eastAsia="楷体_GB2312"/>
          <w:sz w:val="24"/>
        </w:rPr>
        <w:t>时效</w:t>
      </w:r>
      <w:r>
        <w:rPr>
          <w:rFonts w:hint="eastAsia" w:ascii="楷体_GB2312" w:hAnsi="宋体" w:eastAsia="楷体_GB2312"/>
          <w:sz w:val="24"/>
        </w:rPr>
        <w:t>，以</w:t>
      </w:r>
      <w:r>
        <w:rPr>
          <w:rFonts w:ascii="楷体_GB2312" w:hAnsi="宋体" w:eastAsia="楷体_GB2312"/>
          <w:sz w:val="24"/>
        </w:rPr>
        <w:t>及债务人、担保人现状</w:t>
      </w:r>
      <w:r>
        <w:rPr>
          <w:rFonts w:hint="eastAsia" w:ascii="楷体_GB2312" w:hAnsi="宋体" w:eastAsia="楷体_GB2312"/>
          <w:sz w:val="24"/>
        </w:rPr>
        <w:t>等，请投资者自行调查及判断，东方对此不作任何保证。</w:t>
      </w:r>
    </w:p>
    <w:p w14:paraId="37AD3CDE">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标的资产的意向投资者须为具有相应购买能力的、在中国</w:t>
      </w:r>
      <w:r>
        <w:rPr>
          <w:rFonts w:ascii="楷体_GB2312" w:hAnsi="宋体" w:eastAsia="楷体_GB2312"/>
          <w:sz w:val="24"/>
        </w:rPr>
        <w:t>境内</w:t>
      </w:r>
      <w:r>
        <w:rPr>
          <w:rFonts w:hint="eastAsia" w:ascii="楷体_GB2312" w:hAnsi="宋体" w:eastAsia="楷体_GB2312"/>
          <w:sz w:val="24"/>
        </w:rPr>
        <w:t>依法注册并存续的公司、企业或其他经济组织或中国</w:t>
      </w:r>
      <w:r>
        <w:rPr>
          <w:rFonts w:ascii="楷体_GB2312" w:hAnsi="宋体" w:eastAsia="楷体_GB2312"/>
          <w:sz w:val="24"/>
        </w:rPr>
        <w:t>境内</w:t>
      </w:r>
      <w:r>
        <w:rPr>
          <w:rFonts w:hint="eastAsia" w:ascii="楷体_GB2312" w:hAnsi="宋体" w:eastAsia="楷体_GB2312"/>
          <w:sz w:val="24"/>
        </w:rPr>
        <w:t>自然人（不包括台港澳籍、外国（地区）籍自然人）。</w:t>
      </w:r>
    </w:p>
    <w:p w14:paraId="0C04D85C">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投资人不得为:(1)国家公务员、金融资产管理公司工作人员、该项资产处置工作相关中介机构所属人员，及上述人员出资成立的法人机构或特殊目的实体、参与的非金融机构法人；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不宜受让的主体。</w:t>
      </w:r>
    </w:p>
    <w:p w14:paraId="30ECEE61">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如投资者有意向了解有关标的资产的情况、注册程序、交易时间表等详情，请登陆中国东方资产管理股份有限公司网站</w:t>
      </w:r>
      <w:r>
        <w:fldChar w:fldCharType="begin"/>
      </w:r>
      <w:r>
        <w:instrText xml:space="preserve"> HYPERLINK "http://www.coamc.com.cn" </w:instrText>
      </w:r>
      <w:r>
        <w:fldChar w:fldCharType="separate"/>
      </w:r>
      <w:r>
        <w:rPr>
          <w:rStyle w:val="12"/>
          <w:rFonts w:hint="eastAsia" w:ascii="楷体_GB2312" w:hAnsi="宋体" w:eastAsia="楷体_GB2312"/>
          <w:color w:val="auto"/>
          <w:sz w:val="24"/>
          <w:u w:val="none"/>
        </w:rPr>
        <w:t>www.coamc.com.cn</w:t>
      </w:r>
      <w:r>
        <w:rPr>
          <w:rStyle w:val="12"/>
          <w:rFonts w:hint="eastAsia" w:ascii="楷体_GB2312" w:hAnsi="宋体" w:eastAsia="楷体_GB2312"/>
          <w:color w:val="auto"/>
          <w:sz w:val="24"/>
          <w:u w:val="none"/>
        </w:rPr>
        <w:fldChar w:fldCharType="end"/>
      </w:r>
      <w:r>
        <w:rPr>
          <w:rFonts w:hint="eastAsia" w:ascii="楷体_GB2312" w:hAnsi="宋体" w:eastAsia="楷体_GB2312"/>
          <w:sz w:val="24"/>
        </w:rPr>
        <w:t>或京东公告。</w:t>
      </w:r>
    </w:p>
    <w:p w14:paraId="0C81D87B">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任何对标的资产处置交易持有异议者均可提出意见和/或异议，征询或异议的有效期限为公告之日起七个工作日止。欢迎社会各界向东方提供债务人及担保人的资产线索和其它相关情况。</w:t>
      </w:r>
    </w:p>
    <w:p w14:paraId="6C5AA6F8">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标的资产处置交易的联系人如下：</w:t>
      </w:r>
    </w:p>
    <w:p w14:paraId="6CC47273">
      <w:pPr>
        <w:tabs>
          <w:tab w:val="left" w:pos="8700"/>
        </w:tabs>
        <w:spacing w:line="360" w:lineRule="exact"/>
        <w:ind w:left="1200"/>
        <w:rPr>
          <w:rFonts w:ascii="楷体_GB2312" w:hAnsi="宋体" w:eastAsia="楷体_GB2312"/>
          <w:sz w:val="24"/>
        </w:rPr>
      </w:pPr>
    </w:p>
    <w:p w14:paraId="47679772">
      <w:pPr>
        <w:numPr>
          <w:ilvl w:val="0"/>
          <w:numId w:val="1"/>
        </w:numPr>
        <w:tabs>
          <w:tab w:val="left" w:pos="1080"/>
          <w:tab w:val="left" w:pos="8700"/>
          <w:tab w:val="clear" w:pos="1200"/>
        </w:tabs>
        <w:spacing w:line="360" w:lineRule="exact"/>
        <w:rPr>
          <w:rFonts w:ascii="楷体_GB2312" w:hAnsi="宋体" w:eastAsia="楷体_GB2312"/>
          <w:sz w:val="24"/>
        </w:rPr>
      </w:pPr>
      <w:r>
        <w:rPr>
          <w:rFonts w:hint="eastAsia" w:ascii="楷体_GB2312" w:hAnsi="宋体" w:eastAsia="楷体_GB2312"/>
          <w:sz w:val="24"/>
        </w:rPr>
        <w:t>东方联系人：柴先生/王</w:t>
      </w:r>
      <w:r>
        <w:rPr>
          <w:rFonts w:ascii="楷体_GB2312" w:hAnsi="宋体" w:eastAsia="楷体_GB2312"/>
          <w:sz w:val="24"/>
        </w:rPr>
        <w:t>女士</w:t>
      </w:r>
    </w:p>
    <w:p w14:paraId="6C29B904">
      <w:pPr>
        <w:tabs>
          <w:tab w:val="left" w:pos="8700"/>
        </w:tabs>
        <w:spacing w:line="360" w:lineRule="exact"/>
        <w:ind w:left="1080"/>
        <w:rPr>
          <w:rFonts w:ascii="楷体_GB2312" w:hAnsi="宋体" w:eastAsia="楷体_GB2312"/>
          <w:sz w:val="24"/>
        </w:rPr>
      </w:pPr>
      <w:r>
        <w:rPr>
          <w:rFonts w:hint="eastAsia" w:ascii="楷体_GB2312" w:hAnsi="宋体" w:eastAsia="楷体_GB2312"/>
          <w:sz w:val="24"/>
        </w:rPr>
        <w:t>电话：029-</w:t>
      </w:r>
      <w:r>
        <w:rPr>
          <w:rFonts w:ascii="楷体_GB2312" w:hAnsi="宋体" w:eastAsia="楷体_GB2312"/>
          <w:sz w:val="24"/>
        </w:rPr>
        <w:t>87408086</w:t>
      </w:r>
      <w:r>
        <w:rPr>
          <w:rFonts w:hint="eastAsia" w:ascii="楷体_GB2312" w:hAnsi="宋体" w:eastAsia="楷体_GB2312"/>
          <w:sz w:val="24"/>
        </w:rPr>
        <w:t>、0</w:t>
      </w:r>
      <w:r>
        <w:rPr>
          <w:rFonts w:ascii="楷体_GB2312" w:hAnsi="宋体" w:eastAsia="楷体_GB2312"/>
          <w:sz w:val="24"/>
        </w:rPr>
        <w:t>29-87617343</w:t>
      </w:r>
    </w:p>
    <w:p w14:paraId="17ABCF08">
      <w:pPr>
        <w:tabs>
          <w:tab w:val="left" w:pos="8700"/>
        </w:tabs>
        <w:spacing w:line="360" w:lineRule="exact"/>
        <w:ind w:left="1080"/>
        <w:rPr>
          <w:rFonts w:eastAsia="楷体_GB2312"/>
          <w:sz w:val="24"/>
        </w:rPr>
      </w:pPr>
      <w:r>
        <w:rPr>
          <w:rFonts w:hint="eastAsia" w:ascii="楷体_GB2312" w:hAnsi="宋体" w:eastAsia="楷体_GB2312"/>
          <w:sz w:val="24"/>
        </w:rPr>
        <w:t>地址：西安市</w:t>
      </w:r>
      <w:r>
        <w:rPr>
          <w:rFonts w:ascii="楷体_GB2312" w:hAnsi="宋体" w:eastAsia="楷体_GB2312"/>
          <w:sz w:val="24"/>
        </w:rPr>
        <w:t>广济街金泰丰大厦</w:t>
      </w:r>
      <w:r>
        <w:rPr>
          <w:rFonts w:hint="eastAsia" w:ascii="楷体_GB2312" w:hAnsi="宋体" w:eastAsia="楷体_GB2312"/>
          <w:sz w:val="24"/>
        </w:rPr>
        <w:t>10层</w:t>
      </w:r>
      <w:r>
        <w:rPr>
          <w:rFonts w:eastAsia="楷体_GB2312"/>
          <w:sz w:val="24"/>
        </w:rPr>
        <w:tab/>
      </w:r>
    </w:p>
    <w:p w14:paraId="3532340F">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对排斥、阻挠异议或征询的行为可向有关部门举报。</w:t>
      </w:r>
    </w:p>
    <w:p w14:paraId="6203E83B">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举报电话：010-66507226（中国东方资产管理股份有限公司纪委办公室）</w:t>
      </w:r>
      <w:r>
        <w:rPr>
          <w:rFonts w:eastAsia="楷体_GB2312"/>
          <w:sz w:val="24"/>
        </w:rPr>
        <w:t>029-87387832</w:t>
      </w:r>
      <w:r>
        <w:rPr>
          <w:rFonts w:hint="eastAsia" w:eastAsia="楷体_GB2312"/>
          <w:sz w:val="24"/>
        </w:rPr>
        <w:t>（</w:t>
      </w:r>
      <w:r>
        <w:rPr>
          <w:rFonts w:eastAsia="楷体_GB2312"/>
          <w:sz w:val="24"/>
        </w:rPr>
        <w:t>中国东方资产管理</w:t>
      </w:r>
      <w:r>
        <w:rPr>
          <w:rFonts w:hint="eastAsia" w:eastAsia="楷体_GB2312"/>
          <w:sz w:val="24"/>
        </w:rPr>
        <w:t>股份有限</w:t>
      </w:r>
      <w:r>
        <w:rPr>
          <w:rFonts w:eastAsia="楷体_GB2312"/>
          <w:sz w:val="24"/>
        </w:rPr>
        <w:t>公司</w:t>
      </w:r>
      <w:r>
        <w:rPr>
          <w:rFonts w:hint="eastAsia" w:eastAsia="楷体_GB2312"/>
          <w:sz w:val="24"/>
        </w:rPr>
        <w:t>陕西省分公司纪检监察部门）</w:t>
      </w:r>
    </w:p>
    <w:p w14:paraId="4AF115E5">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监督管理部门：财政部陕西监管局 电话：</w:t>
      </w:r>
      <w:r>
        <w:rPr>
          <w:rFonts w:ascii="楷体_GB2312" w:hAnsi="宋体" w:eastAsia="楷体_GB2312"/>
          <w:sz w:val="24"/>
        </w:rPr>
        <w:t>029-87627304</w:t>
      </w:r>
    </w:p>
    <w:p w14:paraId="1DE1D2B4">
      <w:pPr>
        <w:spacing w:line="360" w:lineRule="exact"/>
        <w:ind w:firstLine="2160" w:firstLineChars="900"/>
        <w:rPr>
          <w:rFonts w:ascii="楷体_GB2312" w:hAnsi="宋体" w:eastAsia="楷体_GB2312"/>
          <w:sz w:val="24"/>
        </w:rPr>
      </w:pPr>
      <w:r>
        <w:rPr>
          <w:rFonts w:hint="eastAsia" w:ascii="楷体_GB2312" w:hAnsi="宋体" w:eastAsia="楷体_GB2312"/>
          <w:sz w:val="24"/>
        </w:rPr>
        <w:t>国家金融监督管理总局陕西监管局 电话：</w:t>
      </w:r>
      <w:r>
        <w:rPr>
          <w:rFonts w:ascii="楷体_GB2312" w:hAnsi="宋体" w:eastAsia="楷体_GB2312"/>
          <w:sz w:val="24"/>
        </w:rPr>
        <w:t>029-88336494</w:t>
      </w:r>
    </w:p>
    <w:p w14:paraId="7B5CF511">
      <w:pPr>
        <w:spacing w:line="360" w:lineRule="exact"/>
        <w:ind w:firstLine="480" w:firstLineChars="200"/>
        <w:rPr>
          <w:rFonts w:ascii="楷体_GB2312" w:hAnsi="宋体" w:eastAsia="楷体_GB2312"/>
          <w:sz w:val="24"/>
        </w:rPr>
      </w:pPr>
    </w:p>
    <w:p w14:paraId="3832776D">
      <w:pPr>
        <w:spacing w:line="360" w:lineRule="exact"/>
        <w:ind w:firstLine="480" w:firstLineChars="200"/>
        <w:rPr>
          <w:rFonts w:ascii="楷体_GB2312" w:hAnsi="宋体" w:eastAsia="楷体_GB2312"/>
          <w:sz w:val="24"/>
        </w:rPr>
      </w:pPr>
      <w:r>
        <w:rPr>
          <w:rFonts w:hint="eastAsia" w:ascii="楷体_GB2312" w:hAnsi="宋体" w:eastAsia="楷体_GB2312"/>
          <w:sz w:val="24"/>
        </w:rPr>
        <w:t>为严格防范交易各方及其关联人士的道德风险，防止不正当交易，防范项目操作风险，非经合作对方同意，任何一方不得擅自通过任何中介（包括任何自然人、法人或其他组织）安排、实施本项目合作事宜。交易双方不得以任何理由向对方及其工作人员、相关组织机构及其工作人员及前述组织和个人的关联方进行商业贿赂、馈赠钱物(现金、有价证券、信用卡、礼金、奖金、补贴、物品等)或进行其他任何形式的利益输送。任何一方在项目运作过程中发现对方存在上述行为，有权提醒对方相关人士立即纠正，经制止拒不纠正的，应告知对方及时采取相应的法律行动。</w:t>
      </w:r>
    </w:p>
    <w:p w14:paraId="031C59F5">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本公告不构成一项要约。本公告有效期限自公告之日起</w:t>
      </w:r>
      <w:r>
        <w:rPr>
          <w:rFonts w:hint="eastAsia" w:ascii="楷体_GB2312" w:hAnsi="宋体" w:eastAsia="楷体_GB2312"/>
          <w:sz w:val="24"/>
          <w:lang w:eastAsia="zh-CN"/>
        </w:rPr>
        <w:t>五</w:t>
      </w:r>
      <w:r>
        <w:rPr>
          <w:rFonts w:hint="eastAsia" w:ascii="楷体_GB2312" w:hAnsi="宋体" w:eastAsia="楷体_GB2312"/>
          <w:sz w:val="24"/>
        </w:rPr>
        <w:t>个工作日</w:t>
      </w:r>
      <w:r>
        <w:rPr>
          <w:rFonts w:ascii="楷体_GB2312" w:hAnsi="宋体" w:eastAsia="楷体_GB2312"/>
          <w:sz w:val="24"/>
        </w:rPr>
        <w:t>止</w:t>
      </w:r>
      <w:r>
        <w:rPr>
          <w:rFonts w:hint="eastAsia" w:ascii="楷体_GB2312" w:hAnsi="宋体" w:eastAsia="楷体_GB2312"/>
          <w:sz w:val="24"/>
        </w:rPr>
        <w:t>。</w:t>
      </w:r>
    </w:p>
    <w:p w14:paraId="71B3B8CF">
      <w:pPr>
        <w:spacing w:before="240" w:line="360" w:lineRule="exact"/>
        <w:ind w:firstLine="480" w:firstLineChars="200"/>
        <w:jc w:val="left"/>
        <w:rPr>
          <w:rFonts w:ascii="楷体_GB2312" w:hAnsi="宋体" w:eastAsia="楷体_GB2312"/>
          <w:sz w:val="24"/>
        </w:rPr>
      </w:pPr>
      <w:r>
        <w:rPr>
          <w:rFonts w:hint="eastAsia" w:ascii="楷体_GB2312" w:hAnsi="宋体" w:eastAsia="楷体_GB2312"/>
          <w:sz w:val="24"/>
        </w:rPr>
        <w:t>特此公告。</w:t>
      </w:r>
    </w:p>
    <w:p w14:paraId="16C5CEDF">
      <w:pPr>
        <w:spacing w:before="240" w:line="360" w:lineRule="exact"/>
        <w:ind w:firstLine="482" w:firstLineChars="200"/>
        <w:jc w:val="right"/>
        <w:rPr>
          <w:rFonts w:ascii="楷体_GB2312" w:hAnsi="宋体" w:eastAsia="楷体_GB2312"/>
          <w:b/>
          <w:sz w:val="24"/>
        </w:rPr>
      </w:pPr>
      <w:r>
        <w:rPr>
          <w:rFonts w:hint="eastAsia" w:ascii="楷体_GB2312" w:hAnsi="宋体" w:eastAsia="楷体_GB2312"/>
          <w:b/>
          <w:sz w:val="24"/>
        </w:rPr>
        <w:t>中国东方资产管理股份有限公司陕西省</w:t>
      </w:r>
      <w:r>
        <w:rPr>
          <w:rFonts w:ascii="楷体_GB2312" w:hAnsi="宋体" w:eastAsia="楷体_GB2312"/>
          <w:b/>
          <w:sz w:val="24"/>
        </w:rPr>
        <w:t>分公司</w:t>
      </w:r>
    </w:p>
    <w:p w14:paraId="3D9DFA2F">
      <w:pPr>
        <w:wordWrap w:val="0"/>
        <w:spacing w:before="120" w:line="360" w:lineRule="exact"/>
        <w:ind w:firstLine="482" w:firstLineChars="200"/>
        <w:jc w:val="right"/>
        <w:rPr>
          <w:rFonts w:ascii="楷体_GB2312" w:hAnsi="宋体" w:eastAsia="楷体_GB2312"/>
          <w:b/>
          <w:sz w:val="24"/>
        </w:rPr>
      </w:pPr>
      <w:r>
        <w:rPr>
          <w:rFonts w:hint="eastAsia" w:ascii="楷体_GB2312" w:hAnsi="宋体" w:eastAsia="楷体_GB2312"/>
          <w:b/>
          <w:sz w:val="24"/>
        </w:rPr>
        <w:t>二</w:t>
      </w:r>
      <w:r>
        <w:rPr>
          <w:rFonts w:hint="eastAsia" w:ascii="楷体_GB2312" w:hAnsi="宋体"/>
          <w:b/>
          <w:sz w:val="24"/>
        </w:rPr>
        <w:t>〇</w:t>
      </w:r>
      <w:r>
        <w:rPr>
          <w:rFonts w:hint="eastAsia" w:ascii="楷体_GB2312" w:hAnsi="宋体" w:eastAsia="楷体_GB2312"/>
          <w:b/>
          <w:sz w:val="24"/>
        </w:rPr>
        <w:t>二五年</w:t>
      </w:r>
      <w:r>
        <w:rPr>
          <w:rFonts w:hint="eastAsia" w:ascii="楷体_GB2312" w:hAnsi="宋体" w:eastAsia="楷体_GB2312"/>
          <w:b/>
          <w:sz w:val="24"/>
          <w:lang w:eastAsia="zh-CN"/>
        </w:rPr>
        <w:t>五</w:t>
      </w:r>
      <w:r>
        <w:rPr>
          <w:rFonts w:hint="eastAsia" w:ascii="楷体_GB2312" w:hAnsi="宋体" w:eastAsia="楷体_GB2312"/>
          <w:b/>
          <w:sz w:val="24"/>
        </w:rPr>
        <w:t>月</w:t>
      </w:r>
      <w:r>
        <w:rPr>
          <w:rFonts w:hint="eastAsia" w:ascii="楷体_GB2312" w:hAnsi="宋体" w:eastAsia="楷体_GB2312"/>
          <w:b/>
          <w:sz w:val="24"/>
          <w:lang w:val="en-US" w:eastAsia="zh-CN"/>
        </w:rPr>
        <w:t xml:space="preserve">     </w:t>
      </w:r>
      <w:r>
        <w:rPr>
          <w:rFonts w:hint="eastAsia" w:ascii="楷体_GB2312" w:hAnsi="宋体" w:eastAsia="楷体_GB2312"/>
          <w:b/>
          <w:sz w:val="24"/>
        </w:rPr>
        <w:t>日</w:t>
      </w:r>
    </w:p>
    <w:p w14:paraId="7093A740">
      <w:pPr>
        <w:spacing w:before="120" w:line="360" w:lineRule="exact"/>
        <w:ind w:firstLine="482" w:firstLineChars="200"/>
        <w:jc w:val="right"/>
        <w:rPr>
          <w:rFonts w:ascii="楷体_GB2312" w:hAnsi="宋体" w:eastAsia="楷体_GB2312"/>
          <w:b/>
          <w:sz w:val="24"/>
        </w:rPr>
      </w:pPr>
    </w:p>
    <w:p w14:paraId="6B843BB5">
      <w:pPr>
        <w:spacing w:before="120" w:line="360" w:lineRule="exact"/>
        <w:ind w:firstLine="482" w:firstLineChars="200"/>
        <w:jc w:val="right"/>
        <w:rPr>
          <w:rFonts w:ascii="楷体_GB2312" w:hAnsi="宋体" w:eastAsia="楷体_GB2312"/>
          <w:b/>
          <w:sz w:val="24"/>
        </w:rPr>
      </w:pPr>
    </w:p>
    <w:p w14:paraId="4AF37987">
      <w:pPr>
        <w:widowControl/>
        <w:jc w:val="left"/>
        <w:rPr>
          <w:rFonts w:ascii="楷体_GB2312" w:hAnsi="宋体" w:eastAsia="楷体_GB2312"/>
          <w:b/>
          <w:sz w:val="24"/>
        </w:rPr>
      </w:pPr>
      <w:bookmarkStart w:id="0" w:name="_Toc467844824"/>
      <w:bookmarkStart w:id="1" w:name="_Toc479296824"/>
      <w:bookmarkStart w:id="2" w:name="_Toc492025749"/>
      <w:bookmarkStart w:id="3" w:name="_Toc495597280"/>
      <w:bookmarkStart w:id="4" w:name="_Toc495656879"/>
      <w:r>
        <w:rPr>
          <w:rFonts w:ascii="楷体_GB2312" w:hAnsi="宋体" w:eastAsia="楷体_GB2312"/>
          <w:b/>
          <w:sz w:val="24"/>
        </w:rPr>
        <w:br w:type="page"/>
      </w:r>
    </w:p>
    <w:p w14:paraId="798A03BC">
      <w:pPr>
        <w:autoSpaceDE w:val="0"/>
        <w:autoSpaceDN w:val="0"/>
        <w:adjustRightInd w:val="0"/>
        <w:spacing w:after="312" w:afterLines="100" w:line="300" w:lineRule="auto"/>
        <w:outlineLvl w:val="0"/>
        <w:rPr>
          <w:rFonts w:ascii="楷体_GB2312" w:hAnsi="宋体" w:eastAsia="楷体_GB2312"/>
          <w:b/>
          <w:sz w:val="24"/>
        </w:rPr>
      </w:pPr>
      <w:r>
        <w:rPr>
          <w:rFonts w:ascii="楷体_GB2312" w:hAnsi="宋体" w:eastAsia="楷体_GB2312"/>
          <w:b/>
          <w:sz w:val="24"/>
        </w:rPr>
        <w:t xml:space="preserve">附件   </w:t>
      </w:r>
      <w:bookmarkEnd w:id="0"/>
      <w:bookmarkEnd w:id="1"/>
      <w:bookmarkEnd w:id="2"/>
      <w:bookmarkEnd w:id="3"/>
      <w:bookmarkEnd w:id="4"/>
      <w:r>
        <w:rPr>
          <w:rFonts w:hint="eastAsia" w:ascii="楷体_GB2312" w:hAnsi="宋体" w:eastAsia="楷体_GB2312"/>
          <w:b/>
          <w:sz w:val="24"/>
        </w:rPr>
        <w:t>标的资产</w:t>
      </w:r>
      <w:r>
        <w:rPr>
          <w:rFonts w:ascii="楷体_GB2312" w:hAnsi="宋体" w:eastAsia="楷体_GB2312"/>
          <w:b/>
          <w:sz w:val="24"/>
        </w:rPr>
        <w:t>清单</w:t>
      </w:r>
    </w:p>
    <w:p w14:paraId="3EBE3F61">
      <w:pPr>
        <w:spacing w:after="312" w:afterLines="100" w:line="300" w:lineRule="auto"/>
        <w:jc w:val="center"/>
        <w:rPr>
          <w:rFonts w:ascii="楷体_GB2312" w:hAnsi="宋体" w:eastAsia="楷体_GB2312"/>
          <w:b/>
          <w:sz w:val="24"/>
        </w:rPr>
      </w:pPr>
      <w:r>
        <w:rPr>
          <w:rFonts w:hint="eastAsia" w:ascii="楷体_GB2312" w:hAnsi="宋体" w:eastAsia="楷体_GB2312"/>
          <w:b/>
          <w:sz w:val="24"/>
        </w:rPr>
        <w:t>标的资产清单</w:t>
      </w:r>
    </w:p>
    <w:p w14:paraId="23923E49">
      <w:pPr>
        <w:spacing w:after="312" w:afterLines="100" w:line="300" w:lineRule="auto"/>
        <w:rPr>
          <w:rFonts w:ascii="楷体" w:hAnsi="楷体" w:eastAsia="楷体"/>
          <w:sz w:val="23"/>
          <w:szCs w:val="28"/>
        </w:rPr>
      </w:pPr>
      <w:r>
        <w:rPr>
          <w:rFonts w:hint="eastAsia" w:ascii="楷体" w:hAnsi="楷体" w:eastAsia="楷体"/>
          <w:sz w:val="23"/>
          <w:szCs w:val="28"/>
        </w:rPr>
        <w:t>标的资产清单A：债权标的资产清单</w:t>
      </w:r>
    </w:p>
    <w:p w14:paraId="3C6C4C63">
      <w:pPr>
        <w:spacing w:after="312" w:afterLines="100" w:line="300" w:lineRule="auto"/>
        <w:ind w:firstLine="5405" w:firstLineChars="2350"/>
        <w:jc w:val="right"/>
        <w:rPr>
          <w:rFonts w:ascii="楷体" w:hAnsi="楷体" w:eastAsia="楷体"/>
          <w:sz w:val="23"/>
          <w:szCs w:val="28"/>
        </w:rPr>
      </w:pPr>
      <w:r>
        <w:rPr>
          <w:rFonts w:hint="eastAsia" w:ascii="楷体" w:hAnsi="楷体" w:eastAsia="楷体"/>
          <w:sz w:val="23"/>
          <w:szCs w:val="28"/>
        </w:rPr>
        <w:t>单位：人民币 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539"/>
        <w:gridCol w:w="533"/>
        <w:gridCol w:w="1566"/>
        <w:gridCol w:w="615"/>
        <w:gridCol w:w="609"/>
        <w:gridCol w:w="555"/>
        <w:gridCol w:w="799"/>
        <w:gridCol w:w="539"/>
        <w:gridCol w:w="913"/>
        <w:gridCol w:w="868"/>
        <w:gridCol w:w="887"/>
        <w:gridCol w:w="679"/>
      </w:tblGrid>
      <w:tr w14:paraId="310D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578" w:type="dxa"/>
            <w:shd w:val="clear" w:color="auto" w:fill="auto"/>
          </w:tcPr>
          <w:p w14:paraId="21BB51F3">
            <w:pPr>
              <w:adjustRightInd w:val="0"/>
              <w:snapToGrid w:val="0"/>
              <w:spacing w:after="312" w:afterLines="100" w:line="300" w:lineRule="auto"/>
              <w:outlineLvl w:val="0"/>
              <w:rPr>
                <w:rFonts w:ascii="楷体" w:hAnsi="楷体" w:eastAsia="楷体"/>
                <w:sz w:val="18"/>
                <w:szCs w:val="18"/>
              </w:rPr>
            </w:pPr>
            <w:bookmarkStart w:id="5" w:name="_Toc494284925"/>
            <w:bookmarkStart w:id="6" w:name="_Toc494285645"/>
            <w:bookmarkStart w:id="7" w:name="_Toc495656881"/>
            <w:bookmarkStart w:id="8" w:name="_Toc495597282"/>
            <w:r>
              <w:rPr>
                <w:rFonts w:hint="eastAsia" w:ascii="楷体" w:hAnsi="楷体" w:eastAsia="楷体"/>
                <w:sz w:val="18"/>
                <w:szCs w:val="18"/>
              </w:rPr>
              <w:t>借款人</w:t>
            </w:r>
            <w:bookmarkEnd w:id="5"/>
            <w:bookmarkEnd w:id="6"/>
            <w:bookmarkEnd w:id="7"/>
            <w:bookmarkEnd w:id="8"/>
          </w:p>
        </w:tc>
        <w:tc>
          <w:tcPr>
            <w:tcW w:w="539" w:type="dxa"/>
          </w:tcPr>
          <w:p w14:paraId="2A43A4E8">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借款人</w:t>
            </w:r>
            <w:r>
              <w:rPr>
                <w:rFonts w:ascii="楷体" w:hAnsi="楷体" w:eastAsia="楷体"/>
                <w:sz w:val="18"/>
                <w:szCs w:val="18"/>
              </w:rPr>
              <w:t>所在地</w:t>
            </w:r>
          </w:p>
        </w:tc>
        <w:tc>
          <w:tcPr>
            <w:tcW w:w="533" w:type="dxa"/>
            <w:shd w:val="clear" w:color="auto" w:fill="auto"/>
          </w:tcPr>
          <w:p w14:paraId="001A12A8">
            <w:pPr>
              <w:adjustRightInd w:val="0"/>
              <w:snapToGrid w:val="0"/>
              <w:spacing w:after="312" w:afterLines="100" w:line="300" w:lineRule="auto"/>
              <w:outlineLvl w:val="0"/>
              <w:rPr>
                <w:rFonts w:ascii="楷体" w:hAnsi="楷体" w:eastAsia="楷体"/>
                <w:sz w:val="18"/>
                <w:szCs w:val="18"/>
              </w:rPr>
            </w:pPr>
            <w:bookmarkStart w:id="9" w:name="_Toc494284926"/>
            <w:bookmarkStart w:id="10" w:name="_Toc494285646"/>
            <w:bookmarkStart w:id="11" w:name="_Toc495597283"/>
            <w:bookmarkStart w:id="12" w:name="_Toc495656882"/>
            <w:r>
              <w:rPr>
                <w:rFonts w:hint="eastAsia" w:ascii="楷体" w:hAnsi="楷体" w:eastAsia="楷体"/>
                <w:sz w:val="18"/>
                <w:szCs w:val="18"/>
              </w:rPr>
              <w:t>借款合同名称</w:t>
            </w:r>
            <w:bookmarkEnd w:id="9"/>
            <w:bookmarkEnd w:id="10"/>
            <w:bookmarkEnd w:id="11"/>
            <w:bookmarkEnd w:id="12"/>
          </w:p>
        </w:tc>
        <w:tc>
          <w:tcPr>
            <w:tcW w:w="1372" w:type="dxa"/>
            <w:shd w:val="clear" w:color="auto" w:fill="auto"/>
          </w:tcPr>
          <w:p w14:paraId="034A5741">
            <w:pPr>
              <w:adjustRightInd w:val="0"/>
              <w:snapToGrid w:val="0"/>
              <w:spacing w:after="312" w:afterLines="100" w:line="300" w:lineRule="auto"/>
              <w:outlineLvl w:val="0"/>
              <w:rPr>
                <w:rFonts w:ascii="楷体" w:hAnsi="楷体" w:eastAsia="楷体"/>
                <w:sz w:val="18"/>
                <w:szCs w:val="18"/>
              </w:rPr>
            </w:pPr>
            <w:bookmarkStart w:id="13" w:name="_Toc494284927"/>
            <w:bookmarkStart w:id="14" w:name="_Toc494285647"/>
            <w:bookmarkStart w:id="15" w:name="_Toc495597284"/>
            <w:bookmarkStart w:id="16" w:name="_Toc495656883"/>
            <w:r>
              <w:rPr>
                <w:rFonts w:hint="eastAsia" w:ascii="楷体" w:hAnsi="楷体" w:eastAsia="楷体"/>
                <w:sz w:val="18"/>
                <w:szCs w:val="18"/>
              </w:rPr>
              <w:t>借款合同</w:t>
            </w:r>
            <w:r>
              <w:rPr>
                <w:rFonts w:ascii="楷体" w:hAnsi="楷体" w:eastAsia="楷体"/>
                <w:sz w:val="18"/>
                <w:szCs w:val="18"/>
              </w:rPr>
              <w:t>编号</w:t>
            </w:r>
            <w:bookmarkEnd w:id="13"/>
            <w:bookmarkEnd w:id="14"/>
            <w:bookmarkEnd w:id="15"/>
            <w:bookmarkEnd w:id="16"/>
          </w:p>
        </w:tc>
        <w:tc>
          <w:tcPr>
            <w:tcW w:w="615" w:type="dxa"/>
            <w:shd w:val="clear" w:color="auto" w:fill="auto"/>
          </w:tcPr>
          <w:p w14:paraId="56021023">
            <w:pPr>
              <w:adjustRightInd w:val="0"/>
              <w:snapToGrid w:val="0"/>
              <w:spacing w:after="312" w:afterLines="100" w:line="300" w:lineRule="auto"/>
              <w:outlineLvl w:val="0"/>
              <w:rPr>
                <w:rFonts w:ascii="楷体" w:hAnsi="楷体" w:eastAsia="楷体"/>
                <w:sz w:val="18"/>
                <w:szCs w:val="18"/>
              </w:rPr>
            </w:pPr>
            <w:bookmarkStart w:id="17" w:name="_Toc494284928"/>
            <w:bookmarkStart w:id="18" w:name="_Toc494285648"/>
            <w:bookmarkStart w:id="19" w:name="_Toc495597285"/>
            <w:bookmarkStart w:id="20" w:name="_Toc495656884"/>
            <w:r>
              <w:rPr>
                <w:rFonts w:hint="eastAsia" w:ascii="楷体" w:hAnsi="楷体" w:eastAsia="楷体"/>
                <w:sz w:val="18"/>
                <w:szCs w:val="18"/>
              </w:rPr>
              <w:t>担保人</w:t>
            </w:r>
            <w:bookmarkEnd w:id="17"/>
            <w:bookmarkEnd w:id="18"/>
            <w:bookmarkEnd w:id="19"/>
            <w:bookmarkEnd w:id="20"/>
          </w:p>
        </w:tc>
        <w:tc>
          <w:tcPr>
            <w:tcW w:w="609" w:type="dxa"/>
          </w:tcPr>
          <w:p w14:paraId="2831E76C">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担保人</w:t>
            </w:r>
            <w:r>
              <w:rPr>
                <w:rFonts w:ascii="楷体" w:hAnsi="楷体" w:eastAsia="楷体"/>
                <w:sz w:val="18"/>
                <w:szCs w:val="18"/>
              </w:rPr>
              <w:t>所在地</w:t>
            </w:r>
          </w:p>
        </w:tc>
        <w:tc>
          <w:tcPr>
            <w:tcW w:w="555" w:type="dxa"/>
            <w:shd w:val="clear" w:color="auto" w:fill="auto"/>
          </w:tcPr>
          <w:p w14:paraId="1D87D02F">
            <w:pPr>
              <w:adjustRightInd w:val="0"/>
              <w:snapToGrid w:val="0"/>
              <w:spacing w:after="312" w:afterLines="100" w:line="300" w:lineRule="auto"/>
              <w:outlineLvl w:val="0"/>
              <w:rPr>
                <w:rFonts w:ascii="楷体" w:hAnsi="楷体" w:eastAsia="楷体"/>
                <w:sz w:val="18"/>
                <w:szCs w:val="18"/>
              </w:rPr>
            </w:pPr>
            <w:bookmarkStart w:id="21" w:name="_Toc494284929"/>
            <w:bookmarkStart w:id="22" w:name="_Toc494285649"/>
            <w:bookmarkStart w:id="23" w:name="_Toc495597286"/>
            <w:bookmarkStart w:id="24" w:name="_Toc495656885"/>
            <w:r>
              <w:rPr>
                <w:rFonts w:hint="eastAsia" w:ascii="楷体" w:hAnsi="楷体" w:eastAsia="楷体"/>
                <w:sz w:val="18"/>
                <w:szCs w:val="18"/>
              </w:rPr>
              <w:t>担保合同名称</w:t>
            </w:r>
            <w:bookmarkEnd w:id="21"/>
            <w:bookmarkEnd w:id="22"/>
            <w:bookmarkEnd w:id="23"/>
            <w:bookmarkEnd w:id="24"/>
          </w:p>
        </w:tc>
        <w:tc>
          <w:tcPr>
            <w:tcW w:w="799" w:type="dxa"/>
            <w:shd w:val="clear" w:color="auto" w:fill="auto"/>
          </w:tcPr>
          <w:p w14:paraId="7E4A6C85">
            <w:pPr>
              <w:adjustRightInd w:val="0"/>
              <w:snapToGrid w:val="0"/>
              <w:spacing w:after="312" w:afterLines="100" w:line="300" w:lineRule="auto"/>
              <w:outlineLvl w:val="0"/>
              <w:rPr>
                <w:rFonts w:ascii="楷体" w:hAnsi="楷体" w:eastAsia="楷体"/>
                <w:sz w:val="18"/>
                <w:szCs w:val="18"/>
              </w:rPr>
            </w:pPr>
            <w:bookmarkStart w:id="25" w:name="_Toc494284930"/>
            <w:bookmarkStart w:id="26" w:name="_Toc494285650"/>
            <w:bookmarkStart w:id="27" w:name="_Toc495597287"/>
            <w:bookmarkStart w:id="28" w:name="_Toc495656886"/>
            <w:r>
              <w:rPr>
                <w:rFonts w:hint="eastAsia" w:ascii="楷体" w:hAnsi="楷体" w:eastAsia="楷体"/>
                <w:sz w:val="18"/>
                <w:szCs w:val="18"/>
              </w:rPr>
              <w:t>担保合同</w:t>
            </w:r>
            <w:r>
              <w:rPr>
                <w:rFonts w:ascii="楷体" w:hAnsi="楷体" w:eastAsia="楷体"/>
                <w:sz w:val="18"/>
                <w:szCs w:val="18"/>
              </w:rPr>
              <w:t>编号</w:t>
            </w:r>
            <w:bookmarkEnd w:id="25"/>
            <w:bookmarkEnd w:id="26"/>
            <w:bookmarkEnd w:id="27"/>
            <w:bookmarkEnd w:id="28"/>
          </w:p>
        </w:tc>
        <w:tc>
          <w:tcPr>
            <w:tcW w:w="539" w:type="dxa"/>
            <w:shd w:val="clear" w:color="auto" w:fill="auto"/>
          </w:tcPr>
          <w:p w14:paraId="0832152B">
            <w:pPr>
              <w:adjustRightInd w:val="0"/>
              <w:snapToGrid w:val="0"/>
              <w:spacing w:after="312" w:afterLines="100" w:line="300" w:lineRule="auto"/>
              <w:outlineLvl w:val="0"/>
              <w:rPr>
                <w:rFonts w:ascii="楷体" w:hAnsi="楷体" w:eastAsia="楷体"/>
                <w:sz w:val="18"/>
                <w:szCs w:val="18"/>
              </w:rPr>
            </w:pPr>
            <w:bookmarkStart w:id="29" w:name="_Toc494284931"/>
            <w:bookmarkStart w:id="30" w:name="_Toc494285651"/>
            <w:bookmarkStart w:id="31" w:name="_Toc495597288"/>
            <w:bookmarkStart w:id="32" w:name="_Toc495656887"/>
            <w:r>
              <w:rPr>
                <w:rFonts w:hint="eastAsia" w:ascii="楷体" w:hAnsi="楷体" w:eastAsia="楷体"/>
                <w:sz w:val="18"/>
                <w:szCs w:val="18"/>
              </w:rPr>
              <w:t>担保物</w:t>
            </w:r>
            <w:bookmarkEnd w:id="29"/>
            <w:bookmarkEnd w:id="30"/>
            <w:bookmarkEnd w:id="31"/>
            <w:bookmarkEnd w:id="32"/>
          </w:p>
        </w:tc>
        <w:tc>
          <w:tcPr>
            <w:tcW w:w="913" w:type="dxa"/>
            <w:shd w:val="clear" w:color="auto" w:fill="auto"/>
          </w:tcPr>
          <w:p w14:paraId="0462C700">
            <w:pPr>
              <w:adjustRightInd w:val="0"/>
              <w:snapToGrid w:val="0"/>
              <w:spacing w:after="312" w:afterLines="100" w:line="300" w:lineRule="auto"/>
              <w:outlineLvl w:val="0"/>
              <w:rPr>
                <w:rFonts w:ascii="楷体" w:hAnsi="楷体" w:eastAsia="楷体"/>
                <w:sz w:val="18"/>
                <w:szCs w:val="18"/>
              </w:rPr>
            </w:pPr>
            <w:bookmarkStart w:id="33" w:name="_Toc494284932"/>
            <w:bookmarkStart w:id="34" w:name="_Toc494285652"/>
            <w:bookmarkStart w:id="35" w:name="_Toc495597289"/>
            <w:bookmarkStart w:id="36" w:name="_Toc495656888"/>
            <w:r>
              <w:rPr>
                <w:rFonts w:hint="eastAsia" w:ascii="楷体" w:hAnsi="楷体" w:eastAsia="楷体"/>
                <w:sz w:val="18"/>
                <w:szCs w:val="18"/>
              </w:rPr>
              <w:t>基准日</w:t>
            </w:r>
            <w:r>
              <w:rPr>
                <w:rFonts w:ascii="楷体" w:hAnsi="楷体" w:eastAsia="楷体"/>
                <w:sz w:val="18"/>
                <w:szCs w:val="18"/>
              </w:rPr>
              <w:t>债权余额</w:t>
            </w:r>
            <w:bookmarkEnd w:id="33"/>
            <w:bookmarkEnd w:id="34"/>
            <w:bookmarkEnd w:id="35"/>
            <w:bookmarkEnd w:id="36"/>
          </w:p>
        </w:tc>
        <w:tc>
          <w:tcPr>
            <w:tcW w:w="868" w:type="dxa"/>
            <w:shd w:val="clear" w:color="auto" w:fill="auto"/>
          </w:tcPr>
          <w:p w14:paraId="5C78FD33">
            <w:pPr>
              <w:adjustRightInd w:val="0"/>
              <w:snapToGrid w:val="0"/>
              <w:spacing w:after="312" w:afterLines="100" w:line="300" w:lineRule="auto"/>
              <w:outlineLvl w:val="0"/>
              <w:rPr>
                <w:rFonts w:ascii="楷体" w:hAnsi="楷体" w:eastAsia="楷体"/>
                <w:sz w:val="18"/>
                <w:szCs w:val="18"/>
              </w:rPr>
            </w:pPr>
            <w:bookmarkStart w:id="37" w:name="_Toc494284933"/>
            <w:bookmarkStart w:id="38" w:name="_Toc494285653"/>
            <w:bookmarkStart w:id="39" w:name="_Toc495597290"/>
            <w:bookmarkStart w:id="40" w:name="_Toc495656889"/>
            <w:r>
              <w:rPr>
                <w:rFonts w:hint="eastAsia" w:ascii="楷体" w:hAnsi="楷体" w:eastAsia="楷体"/>
                <w:sz w:val="18"/>
                <w:szCs w:val="18"/>
              </w:rPr>
              <w:t>基准日</w:t>
            </w:r>
            <w:r>
              <w:rPr>
                <w:rFonts w:ascii="楷体" w:hAnsi="楷体" w:eastAsia="楷体"/>
                <w:sz w:val="18"/>
                <w:szCs w:val="18"/>
              </w:rPr>
              <w:t>本金余额</w:t>
            </w:r>
            <w:bookmarkEnd w:id="37"/>
            <w:bookmarkEnd w:id="38"/>
            <w:bookmarkEnd w:id="39"/>
            <w:bookmarkEnd w:id="40"/>
          </w:p>
        </w:tc>
        <w:tc>
          <w:tcPr>
            <w:tcW w:w="887" w:type="dxa"/>
            <w:shd w:val="clear" w:color="auto" w:fill="auto"/>
          </w:tcPr>
          <w:p w14:paraId="28968231">
            <w:pPr>
              <w:adjustRightInd w:val="0"/>
              <w:snapToGrid w:val="0"/>
              <w:spacing w:after="312" w:afterLines="100" w:line="300" w:lineRule="auto"/>
              <w:outlineLvl w:val="0"/>
              <w:rPr>
                <w:rFonts w:ascii="楷体" w:hAnsi="楷体" w:eastAsia="楷体"/>
                <w:sz w:val="18"/>
                <w:szCs w:val="18"/>
              </w:rPr>
            </w:pPr>
            <w:bookmarkStart w:id="41" w:name="_Toc494284934"/>
            <w:bookmarkStart w:id="42" w:name="_Toc494285654"/>
            <w:bookmarkStart w:id="43" w:name="_Toc495597291"/>
            <w:bookmarkStart w:id="44" w:name="_Toc495656890"/>
            <w:r>
              <w:rPr>
                <w:rFonts w:hint="eastAsia" w:ascii="楷体" w:hAnsi="楷体" w:eastAsia="楷体"/>
                <w:sz w:val="18"/>
                <w:szCs w:val="18"/>
              </w:rPr>
              <w:t>基准日</w:t>
            </w:r>
            <w:r>
              <w:rPr>
                <w:rFonts w:ascii="楷体" w:hAnsi="楷体" w:eastAsia="楷体"/>
                <w:sz w:val="18"/>
                <w:szCs w:val="18"/>
              </w:rPr>
              <w:t>利息余额</w:t>
            </w:r>
            <w:bookmarkEnd w:id="41"/>
            <w:bookmarkEnd w:id="42"/>
            <w:bookmarkEnd w:id="43"/>
            <w:bookmarkEnd w:id="44"/>
          </w:p>
        </w:tc>
        <w:tc>
          <w:tcPr>
            <w:tcW w:w="679" w:type="dxa"/>
          </w:tcPr>
          <w:p w14:paraId="09C0BD3F">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资产</w:t>
            </w:r>
            <w:r>
              <w:rPr>
                <w:rFonts w:ascii="楷体" w:hAnsi="楷体" w:eastAsia="楷体"/>
                <w:sz w:val="18"/>
                <w:szCs w:val="18"/>
              </w:rPr>
              <w:t>状态</w:t>
            </w:r>
          </w:p>
        </w:tc>
      </w:tr>
      <w:tr w14:paraId="6185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578" w:type="dxa"/>
            <w:vMerge w:val="restart"/>
            <w:shd w:val="clear" w:color="auto" w:fill="auto"/>
            <w:vAlign w:val="center"/>
          </w:tcPr>
          <w:p w14:paraId="69D63089">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靖边县富华商贸有限公司</w:t>
            </w:r>
          </w:p>
        </w:tc>
        <w:tc>
          <w:tcPr>
            <w:tcW w:w="539" w:type="dxa"/>
            <w:vMerge w:val="restart"/>
          </w:tcPr>
          <w:p w14:paraId="5910D906">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靖边县</w:t>
            </w:r>
          </w:p>
        </w:tc>
        <w:tc>
          <w:tcPr>
            <w:tcW w:w="533" w:type="dxa"/>
            <w:vMerge w:val="restart"/>
            <w:shd w:val="clear" w:color="auto" w:fill="auto"/>
          </w:tcPr>
          <w:p w14:paraId="7662B28A">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小企业借款</w:t>
            </w:r>
            <w:r>
              <w:rPr>
                <w:rFonts w:ascii="楷体" w:hAnsi="楷体" w:eastAsia="楷体"/>
                <w:sz w:val="18"/>
                <w:szCs w:val="18"/>
              </w:rPr>
              <w:t>合同</w:t>
            </w:r>
          </w:p>
        </w:tc>
        <w:tc>
          <w:tcPr>
            <w:tcW w:w="1372" w:type="dxa"/>
            <w:vMerge w:val="restart"/>
            <w:shd w:val="clear" w:color="auto" w:fill="auto"/>
          </w:tcPr>
          <w:p w14:paraId="43683F89">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0261000008-2015年</w:t>
            </w:r>
            <w:r>
              <w:rPr>
                <w:rFonts w:ascii="楷体" w:hAnsi="楷体" w:eastAsia="楷体"/>
                <w:sz w:val="18"/>
                <w:szCs w:val="18"/>
              </w:rPr>
              <w:t>（</w:t>
            </w:r>
            <w:r>
              <w:rPr>
                <w:rFonts w:hint="eastAsia" w:ascii="楷体" w:hAnsi="楷体" w:eastAsia="楷体"/>
                <w:sz w:val="18"/>
                <w:szCs w:val="18"/>
              </w:rPr>
              <w:t>靖边</w:t>
            </w:r>
            <w:r>
              <w:rPr>
                <w:rFonts w:ascii="楷体" w:hAnsi="楷体" w:eastAsia="楷体"/>
                <w:sz w:val="18"/>
                <w:szCs w:val="18"/>
              </w:rPr>
              <w:t>）</w:t>
            </w:r>
            <w:r>
              <w:rPr>
                <w:rFonts w:hint="eastAsia" w:ascii="楷体" w:hAnsi="楷体" w:eastAsia="楷体"/>
                <w:sz w:val="18"/>
                <w:szCs w:val="18"/>
              </w:rPr>
              <w:t>字007号</w:t>
            </w:r>
            <w:r>
              <w:rPr>
                <w:rFonts w:ascii="楷体" w:hAnsi="楷体" w:eastAsia="楷体"/>
                <w:sz w:val="18"/>
                <w:szCs w:val="18"/>
              </w:rPr>
              <w:t>、0031</w:t>
            </w:r>
            <w:r>
              <w:rPr>
                <w:rFonts w:hint="eastAsia" w:ascii="楷体" w:hAnsi="楷体" w:eastAsia="楷体"/>
                <w:sz w:val="18"/>
                <w:szCs w:val="18"/>
              </w:rPr>
              <w:t>号</w:t>
            </w:r>
          </w:p>
        </w:tc>
        <w:tc>
          <w:tcPr>
            <w:tcW w:w="615" w:type="dxa"/>
            <w:shd w:val="clear" w:color="auto" w:fill="auto"/>
          </w:tcPr>
          <w:p w14:paraId="115A37B9">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王</w:t>
            </w:r>
            <w:r>
              <w:rPr>
                <w:rFonts w:ascii="楷体" w:hAnsi="楷体" w:eastAsia="楷体"/>
                <w:sz w:val="18"/>
                <w:szCs w:val="18"/>
              </w:rPr>
              <w:t>德荣、马玉</w:t>
            </w:r>
            <w:r>
              <w:rPr>
                <w:rFonts w:hint="eastAsia" w:ascii="楷体" w:hAnsi="楷体" w:eastAsia="楷体"/>
                <w:sz w:val="18"/>
                <w:szCs w:val="18"/>
              </w:rPr>
              <w:t>萍、</w:t>
            </w:r>
          </w:p>
        </w:tc>
        <w:tc>
          <w:tcPr>
            <w:tcW w:w="609" w:type="dxa"/>
            <w:vMerge w:val="restart"/>
          </w:tcPr>
          <w:p w14:paraId="4D187C96">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靖边</w:t>
            </w:r>
          </w:p>
        </w:tc>
        <w:tc>
          <w:tcPr>
            <w:tcW w:w="555" w:type="dxa"/>
            <w:shd w:val="clear" w:color="auto" w:fill="auto"/>
          </w:tcPr>
          <w:p w14:paraId="3F70722A">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最高额</w:t>
            </w:r>
            <w:r>
              <w:rPr>
                <w:rFonts w:ascii="楷体" w:hAnsi="楷体" w:eastAsia="楷体"/>
                <w:sz w:val="18"/>
                <w:szCs w:val="18"/>
              </w:rPr>
              <w:t>保证合同</w:t>
            </w:r>
          </w:p>
        </w:tc>
        <w:tc>
          <w:tcPr>
            <w:tcW w:w="799" w:type="dxa"/>
            <w:shd w:val="clear" w:color="auto" w:fill="auto"/>
          </w:tcPr>
          <w:p w14:paraId="57D88FC5">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20</w:t>
            </w:r>
            <w:r>
              <w:rPr>
                <w:rFonts w:ascii="楷体" w:hAnsi="楷体" w:eastAsia="楷体"/>
                <w:sz w:val="18"/>
                <w:szCs w:val="18"/>
              </w:rPr>
              <w:t>1</w:t>
            </w:r>
            <w:r>
              <w:rPr>
                <w:rFonts w:hint="eastAsia" w:ascii="楷体" w:hAnsi="楷体" w:eastAsia="楷体"/>
                <w:sz w:val="18"/>
                <w:szCs w:val="18"/>
              </w:rPr>
              <w:t>2年（</w:t>
            </w:r>
            <w:r>
              <w:rPr>
                <w:rFonts w:ascii="楷体" w:hAnsi="楷体" w:eastAsia="楷体"/>
                <w:sz w:val="18"/>
                <w:szCs w:val="18"/>
              </w:rPr>
              <w:t>保</w:t>
            </w:r>
            <w:r>
              <w:rPr>
                <w:rFonts w:hint="eastAsia" w:ascii="楷体" w:hAnsi="楷体" w:eastAsia="楷体"/>
                <w:sz w:val="18"/>
                <w:szCs w:val="18"/>
              </w:rPr>
              <w:t>）字</w:t>
            </w:r>
            <w:r>
              <w:rPr>
                <w:rFonts w:ascii="楷体" w:hAnsi="楷体" w:eastAsia="楷体"/>
                <w:sz w:val="18"/>
                <w:szCs w:val="18"/>
              </w:rPr>
              <w:t>第</w:t>
            </w:r>
            <w:r>
              <w:rPr>
                <w:rFonts w:hint="eastAsia" w:ascii="楷体" w:hAnsi="楷体" w:eastAsia="楷体"/>
                <w:sz w:val="18"/>
                <w:szCs w:val="18"/>
              </w:rPr>
              <w:t>34号</w:t>
            </w:r>
          </w:p>
        </w:tc>
        <w:tc>
          <w:tcPr>
            <w:tcW w:w="539" w:type="dxa"/>
            <w:vMerge w:val="restart"/>
            <w:shd w:val="clear" w:color="auto" w:fill="auto"/>
          </w:tcPr>
          <w:p w14:paraId="2A106297">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靖边县</w:t>
            </w:r>
            <w:r>
              <w:rPr>
                <w:rFonts w:ascii="楷体" w:hAnsi="楷体" w:eastAsia="楷体"/>
                <w:sz w:val="18"/>
                <w:szCs w:val="18"/>
              </w:rPr>
              <w:t>商业</w:t>
            </w:r>
            <w:r>
              <w:rPr>
                <w:rFonts w:hint="eastAsia" w:ascii="楷体" w:hAnsi="楷体" w:eastAsia="楷体"/>
                <w:sz w:val="18"/>
                <w:szCs w:val="18"/>
              </w:rPr>
              <w:t>房产</w:t>
            </w:r>
          </w:p>
        </w:tc>
        <w:tc>
          <w:tcPr>
            <w:tcW w:w="913" w:type="dxa"/>
            <w:vMerge w:val="restart"/>
            <w:shd w:val="clear" w:color="auto" w:fill="auto"/>
            <w:vAlign w:val="center"/>
          </w:tcPr>
          <w:p w14:paraId="51A31585">
            <w:pPr>
              <w:adjustRightInd w:val="0"/>
              <w:snapToGrid w:val="0"/>
              <w:spacing w:after="312" w:afterLines="100" w:line="300" w:lineRule="auto"/>
              <w:outlineLvl w:val="0"/>
              <w:rPr>
                <w:rFonts w:ascii="楷体" w:hAnsi="楷体" w:eastAsia="楷体"/>
                <w:sz w:val="18"/>
                <w:szCs w:val="18"/>
              </w:rPr>
            </w:pPr>
            <w:r>
              <w:rPr>
                <w:rFonts w:ascii="楷体" w:hAnsi="楷体" w:eastAsia="楷体"/>
                <w:sz w:val="18"/>
                <w:szCs w:val="18"/>
              </w:rPr>
              <w:t>3873.71</w:t>
            </w:r>
          </w:p>
        </w:tc>
        <w:tc>
          <w:tcPr>
            <w:tcW w:w="868" w:type="dxa"/>
            <w:vMerge w:val="restart"/>
            <w:shd w:val="clear" w:color="auto" w:fill="auto"/>
            <w:vAlign w:val="center"/>
          </w:tcPr>
          <w:p w14:paraId="787D60E9">
            <w:pPr>
              <w:adjustRightInd w:val="0"/>
              <w:snapToGrid w:val="0"/>
              <w:spacing w:after="312" w:afterLines="100" w:line="300" w:lineRule="auto"/>
              <w:outlineLvl w:val="0"/>
              <w:rPr>
                <w:rFonts w:ascii="楷体" w:hAnsi="楷体" w:eastAsia="楷体"/>
                <w:sz w:val="18"/>
                <w:szCs w:val="18"/>
              </w:rPr>
            </w:pPr>
            <w:r>
              <w:rPr>
                <w:rFonts w:ascii="楷体" w:hAnsi="楷体" w:eastAsia="楷体"/>
                <w:sz w:val="18"/>
                <w:szCs w:val="18"/>
              </w:rPr>
              <w:t>2146.27</w:t>
            </w:r>
          </w:p>
        </w:tc>
        <w:tc>
          <w:tcPr>
            <w:tcW w:w="887" w:type="dxa"/>
            <w:vMerge w:val="restart"/>
            <w:shd w:val="clear" w:color="auto" w:fill="auto"/>
            <w:vAlign w:val="center"/>
          </w:tcPr>
          <w:p w14:paraId="7CFBC36D">
            <w:pPr>
              <w:adjustRightInd w:val="0"/>
              <w:snapToGrid w:val="0"/>
              <w:spacing w:after="312" w:afterLines="100" w:line="300" w:lineRule="auto"/>
              <w:outlineLvl w:val="0"/>
              <w:rPr>
                <w:rFonts w:ascii="楷体" w:hAnsi="楷体" w:eastAsia="楷体"/>
                <w:sz w:val="18"/>
                <w:szCs w:val="18"/>
              </w:rPr>
            </w:pPr>
            <w:r>
              <w:rPr>
                <w:rFonts w:ascii="楷体" w:hAnsi="楷体" w:eastAsia="楷体"/>
                <w:sz w:val="18"/>
                <w:szCs w:val="18"/>
              </w:rPr>
              <w:t>1727.44</w:t>
            </w:r>
          </w:p>
        </w:tc>
        <w:tc>
          <w:tcPr>
            <w:tcW w:w="679" w:type="dxa"/>
            <w:vMerge w:val="restart"/>
          </w:tcPr>
          <w:p w14:paraId="3024F3EF">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债权</w:t>
            </w:r>
            <w:r>
              <w:rPr>
                <w:rFonts w:ascii="楷体" w:hAnsi="楷体" w:eastAsia="楷体"/>
                <w:sz w:val="18"/>
                <w:szCs w:val="18"/>
              </w:rPr>
              <w:t>执行中。</w:t>
            </w:r>
          </w:p>
        </w:tc>
      </w:tr>
      <w:tr w14:paraId="18F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578" w:type="dxa"/>
            <w:vMerge w:val="continue"/>
            <w:shd w:val="clear" w:color="auto" w:fill="auto"/>
            <w:vAlign w:val="center"/>
          </w:tcPr>
          <w:p w14:paraId="15D2EC42">
            <w:pPr>
              <w:adjustRightInd w:val="0"/>
              <w:snapToGrid w:val="0"/>
              <w:spacing w:after="312" w:afterLines="100" w:line="300" w:lineRule="auto"/>
              <w:outlineLvl w:val="0"/>
              <w:rPr>
                <w:rFonts w:ascii="楷体" w:hAnsi="楷体" w:eastAsia="楷体"/>
                <w:sz w:val="18"/>
                <w:szCs w:val="18"/>
              </w:rPr>
            </w:pPr>
          </w:p>
        </w:tc>
        <w:tc>
          <w:tcPr>
            <w:tcW w:w="539" w:type="dxa"/>
            <w:vMerge w:val="continue"/>
          </w:tcPr>
          <w:p w14:paraId="57BE65A9">
            <w:pPr>
              <w:adjustRightInd w:val="0"/>
              <w:snapToGrid w:val="0"/>
              <w:spacing w:after="312" w:afterLines="100" w:line="300" w:lineRule="auto"/>
              <w:outlineLvl w:val="0"/>
              <w:rPr>
                <w:rFonts w:ascii="楷体" w:hAnsi="楷体" w:eastAsia="楷体"/>
                <w:sz w:val="18"/>
                <w:szCs w:val="18"/>
              </w:rPr>
            </w:pPr>
          </w:p>
        </w:tc>
        <w:tc>
          <w:tcPr>
            <w:tcW w:w="533" w:type="dxa"/>
            <w:vMerge w:val="continue"/>
            <w:shd w:val="clear" w:color="auto" w:fill="auto"/>
          </w:tcPr>
          <w:p w14:paraId="3E4EDB63">
            <w:pPr>
              <w:adjustRightInd w:val="0"/>
              <w:snapToGrid w:val="0"/>
              <w:spacing w:after="312" w:afterLines="100" w:line="300" w:lineRule="auto"/>
              <w:outlineLvl w:val="0"/>
              <w:rPr>
                <w:rFonts w:ascii="楷体" w:hAnsi="楷体" w:eastAsia="楷体"/>
                <w:sz w:val="18"/>
                <w:szCs w:val="18"/>
              </w:rPr>
            </w:pPr>
          </w:p>
        </w:tc>
        <w:tc>
          <w:tcPr>
            <w:tcW w:w="1372" w:type="dxa"/>
            <w:vMerge w:val="continue"/>
            <w:shd w:val="clear" w:color="auto" w:fill="auto"/>
          </w:tcPr>
          <w:p w14:paraId="72433A61">
            <w:pPr>
              <w:adjustRightInd w:val="0"/>
              <w:snapToGrid w:val="0"/>
              <w:spacing w:after="312" w:afterLines="100" w:line="300" w:lineRule="auto"/>
              <w:outlineLvl w:val="0"/>
              <w:rPr>
                <w:rFonts w:ascii="楷体" w:hAnsi="楷体" w:eastAsia="楷体"/>
                <w:sz w:val="18"/>
                <w:szCs w:val="18"/>
              </w:rPr>
            </w:pPr>
          </w:p>
        </w:tc>
        <w:tc>
          <w:tcPr>
            <w:tcW w:w="615" w:type="dxa"/>
            <w:shd w:val="clear" w:color="auto" w:fill="auto"/>
          </w:tcPr>
          <w:p w14:paraId="18239E24">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王</w:t>
            </w:r>
            <w:r>
              <w:rPr>
                <w:rFonts w:ascii="楷体" w:hAnsi="楷体" w:eastAsia="楷体"/>
                <w:sz w:val="18"/>
                <w:szCs w:val="18"/>
              </w:rPr>
              <w:t>德荣、马玉</w:t>
            </w:r>
            <w:r>
              <w:rPr>
                <w:rFonts w:hint="eastAsia" w:ascii="楷体" w:hAnsi="楷体" w:eastAsia="楷体"/>
                <w:sz w:val="18"/>
                <w:szCs w:val="18"/>
              </w:rPr>
              <w:t>萍、乔建治、钱德娥</w:t>
            </w:r>
          </w:p>
        </w:tc>
        <w:tc>
          <w:tcPr>
            <w:tcW w:w="609" w:type="dxa"/>
            <w:vMerge w:val="continue"/>
          </w:tcPr>
          <w:p w14:paraId="29768B25">
            <w:pPr>
              <w:adjustRightInd w:val="0"/>
              <w:snapToGrid w:val="0"/>
              <w:spacing w:after="312" w:afterLines="100" w:line="300" w:lineRule="auto"/>
              <w:outlineLvl w:val="0"/>
              <w:rPr>
                <w:rFonts w:ascii="楷体" w:hAnsi="楷体" w:eastAsia="楷体"/>
                <w:sz w:val="18"/>
                <w:szCs w:val="18"/>
              </w:rPr>
            </w:pPr>
          </w:p>
        </w:tc>
        <w:tc>
          <w:tcPr>
            <w:tcW w:w="555" w:type="dxa"/>
            <w:shd w:val="clear" w:color="auto" w:fill="auto"/>
          </w:tcPr>
          <w:p w14:paraId="43C4C988">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最高额抵押合同</w:t>
            </w:r>
          </w:p>
        </w:tc>
        <w:tc>
          <w:tcPr>
            <w:tcW w:w="799" w:type="dxa"/>
            <w:shd w:val="clear" w:color="auto" w:fill="auto"/>
          </w:tcPr>
          <w:p w14:paraId="6F743DFF">
            <w:pPr>
              <w:adjustRightInd w:val="0"/>
              <w:snapToGrid w:val="0"/>
              <w:spacing w:after="312" w:afterLines="100" w:line="300" w:lineRule="auto"/>
              <w:outlineLvl w:val="0"/>
              <w:rPr>
                <w:rFonts w:ascii="楷体" w:hAnsi="楷体" w:eastAsia="楷体"/>
                <w:sz w:val="18"/>
                <w:szCs w:val="18"/>
              </w:rPr>
            </w:pPr>
            <w:r>
              <w:rPr>
                <w:rFonts w:hint="eastAsia" w:ascii="楷体" w:hAnsi="楷体" w:eastAsia="楷体"/>
                <w:sz w:val="18"/>
                <w:szCs w:val="18"/>
              </w:rPr>
              <w:t>2012年（抵）字第34号</w:t>
            </w:r>
          </w:p>
        </w:tc>
        <w:tc>
          <w:tcPr>
            <w:tcW w:w="539" w:type="dxa"/>
            <w:vMerge w:val="continue"/>
            <w:shd w:val="clear" w:color="auto" w:fill="auto"/>
          </w:tcPr>
          <w:p w14:paraId="597B4670">
            <w:pPr>
              <w:adjustRightInd w:val="0"/>
              <w:snapToGrid w:val="0"/>
              <w:spacing w:after="312" w:afterLines="100" w:line="300" w:lineRule="auto"/>
              <w:outlineLvl w:val="0"/>
              <w:rPr>
                <w:rFonts w:ascii="楷体" w:hAnsi="楷体" w:eastAsia="楷体"/>
                <w:sz w:val="18"/>
                <w:szCs w:val="18"/>
              </w:rPr>
            </w:pPr>
          </w:p>
        </w:tc>
        <w:tc>
          <w:tcPr>
            <w:tcW w:w="913" w:type="dxa"/>
            <w:vMerge w:val="continue"/>
            <w:shd w:val="clear" w:color="auto" w:fill="auto"/>
            <w:vAlign w:val="center"/>
          </w:tcPr>
          <w:p w14:paraId="694A189E">
            <w:pPr>
              <w:adjustRightInd w:val="0"/>
              <w:snapToGrid w:val="0"/>
              <w:spacing w:after="312" w:afterLines="100" w:line="300" w:lineRule="auto"/>
              <w:outlineLvl w:val="0"/>
              <w:rPr>
                <w:rFonts w:ascii="楷体" w:hAnsi="楷体" w:eastAsia="楷体"/>
                <w:sz w:val="18"/>
                <w:szCs w:val="18"/>
              </w:rPr>
            </w:pPr>
          </w:p>
        </w:tc>
        <w:tc>
          <w:tcPr>
            <w:tcW w:w="868" w:type="dxa"/>
            <w:vMerge w:val="continue"/>
            <w:shd w:val="clear" w:color="auto" w:fill="auto"/>
            <w:vAlign w:val="center"/>
          </w:tcPr>
          <w:p w14:paraId="5A9F4EBF">
            <w:pPr>
              <w:adjustRightInd w:val="0"/>
              <w:snapToGrid w:val="0"/>
              <w:spacing w:after="312" w:afterLines="100" w:line="300" w:lineRule="auto"/>
              <w:outlineLvl w:val="0"/>
              <w:rPr>
                <w:rFonts w:ascii="楷体" w:hAnsi="楷体" w:eastAsia="楷体"/>
                <w:sz w:val="18"/>
                <w:szCs w:val="18"/>
              </w:rPr>
            </w:pPr>
          </w:p>
        </w:tc>
        <w:tc>
          <w:tcPr>
            <w:tcW w:w="887" w:type="dxa"/>
            <w:vMerge w:val="continue"/>
            <w:shd w:val="clear" w:color="auto" w:fill="auto"/>
            <w:vAlign w:val="center"/>
          </w:tcPr>
          <w:p w14:paraId="2C9CDE10">
            <w:pPr>
              <w:adjustRightInd w:val="0"/>
              <w:snapToGrid w:val="0"/>
              <w:spacing w:after="312" w:afterLines="100" w:line="300" w:lineRule="auto"/>
              <w:outlineLvl w:val="0"/>
              <w:rPr>
                <w:rFonts w:ascii="楷体" w:hAnsi="楷体" w:eastAsia="楷体"/>
                <w:sz w:val="18"/>
                <w:szCs w:val="18"/>
              </w:rPr>
            </w:pPr>
          </w:p>
        </w:tc>
        <w:tc>
          <w:tcPr>
            <w:tcW w:w="679" w:type="dxa"/>
            <w:vMerge w:val="continue"/>
          </w:tcPr>
          <w:p w14:paraId="17572E79">
            <w:pPr>
              <w:adjustRightInd w:val="0"/>
              <w:snapToGrid w:val="0"/>
              <w:spacing w:after="312" w:afterLines="100" w:line="300" w:lineRule="auto"/>
              <w:outlineLvl w:val="0"/>
              <w:rPr>
                <w:rFonts w:ascii="楷体" w:hAnsi="楷体" w:eastAsia="楷体"/>
                <w:sz w:val="18"/>
                <w:szCs w:val="18"/>
              </w:rPr>
            </w:pPr>
          </w:p>
        </w:tc>
      </w:tr>
    </w:tbl>
    <w:p w14:paraId="4BF51327">
      <w:pPr>
        <w:spacing w:after="312" w:afterLines="100" w:line="300" w:lineRule="auto"/>
        <w:rPr>
          <w:rFonts w:ascii="楷体" w:hAnsi="楷体" w:eastAsia="楷体"/>
          <w:sz w:val="23"/>
          <w:szCs w:val="28"/>
        </w:rPr>
      </w:pPr>
    </w:p>
    <w:p w14:paraId="13EC95A3">
      <w:pPr>
        <w:spacing w:before="120" w:line="360" w:lineRule="exact"/>
        <w:ind w:firstLine="422" w:firstLineChars="200"/>
        <w:jc w:val="left"/>
        <w:rPr>
          <w:b/>
        </w:rPr>
      </w:pPr>
    </w:p>
    <w:sectPr>
      <w:footerReference r:id="rId3" w:type="default"/>
      <w:footerReference r:id="rId4" w:type="even"/>
      <w:pgSz w:w="11906" w:h="16838"/>
      <w:pgMar w:top="1304" w:right="1106"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4BC4">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28354EF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B79E">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A2A2454">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488C"/>
    <w:multiLevelType w:val="multilevel"/>
    <w:tmpl w:val="70AC488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B"/>
    <w:rsid w:val="00010B37"/>
    <w:rsid w:val="000153E8"/>
    <w:rsid w:val="00016557"/>
    <w:rsid w:val="000450ED"/>
    <w:rsid w:val="000467CC"/>
    <w:rsid w:val="00060CF7"/>
    <w:rsid w:val="00067FC3"/>
    <w:rsid w:val="00070728"/>
    <w:rsid w:val="00072D3C"/>
    <w:rsid w:val="00091BC7"/>
    <w:rsid w:val="00096C89"/>
    <w:rsid w:val="000B3CF5"/>
    <w:rsid w:val="000B7546"/>
    <w:rsid w:val="000C2277"/>
    <w:rsid w:val="000D07FD"/>
    <w:rsid w:val="000D1378"/>
    <w:rsid w:val="000D15D3"/>
    <w:rsid w:val="000E6610"/>
    <w:rsid w:val="000F0863"/>
    <w:rsid w:val="0010163E"/>
    <w:rsid w:val="00106932"/>
    <w:rsid w:val="00111052"/>
    <w:rsid w:val="00150FC0"/>
    <w:rsid w:val="00156568"/>
    <w:rsid w:val="00167805"/>
    <w:rsid w:val="00177901"/>
    <w:rsid w:val="0018042E"/>
    <w:rsid w:val="00182B23"/>
    <w:rsid w:val="00183D87"/>
    <w:rsid w:val="00185949"/>
    <w:rsid w:val="0019321E"/>
    <w:rsid w:val="00194979"/>
    <w:rsid w:val="001A2CD5"/>
    <w:rsid w:val="001B399D"/>
    <w:rsid w:val="001C3A56"/>
    <w:rsid w:val="001D4C94"/>
    <w:rsid w:val="001F6B3B"/>
    <w:rsid w:val="002020EA"/>
    <w:rsid w:val="00204DC2"/>
    <w:rsid w:val="00205036"/>
    <w:rsid w:val="0020706E"/>
    <w:rsid w:val="00211A9A"/>
    <w:rsid w:val="0022364D"/>
    <w:rsid w:val="00227801"/>
    <w:rsid w:val="00232435"/>
    <w:rsid w:val="00237822"/>
    <w:rsid w:val="00241956"/>
    <w:rsid w:val="00244D9F"/>
    <w:rsid w:val="002536CE"/>
    <w:rsid w:val="00256C8A"/>
    <w:rsid w:val="0027159F"/>
    <w:rsid w:val="00280F97"/>
    <w:rsid w:val="00293B64"/>
    <w:rsid w:val="00294720"/>
    <w:rsid w:val="0029635F"/>
    <w:rsid w:val="002A361A"/>
    <w:rsid w:val="002A6A40"/>
    <w:rsid w:val="002B32DD"/>
    <w:rsid w:val="002C1387"/>
    <w:rsid w:val="002C23A0"/>
    <w:rsid w:val="002C754E"/>
    <w:rsid w:val="002D3048"/>
    <w:rsid w:val="002E3AEA"/>
    <w:rsid w:val="002F19A2"/>
    <w:rsid w:val="00313A2C"/>
    <w:rsid w:val="0031446B"/>
    <w:rsid w:val="00316918"/>
    <w:rsid w:val="0032129E"/>
    <w:rsid w:val="00342BCF"/>
    <w:rsid w:val="003472B0"/>
    <w:rsid w:val="00360DF1"/>
    <w:rsid w:val="003922DC"/>
    <w:rsid w:val="00395B58"/>
    <w:rsid w:val="003A427B"/>
    <w:rsid w:val="003B03B3"/>
    <w:rsid w:val="003B070B"/>
    <w:rsid w:val="003B5226"/>
    <w:rsid w:val="003B6450"/>
    <w:rsid w:val="003C0742"/>
    <w:rsid w:val="003C3F0B"/>
    <w:rsid w:val="003D6488"/>
    <w:rsid w:val="003E13C5"/>
    <w:rsid w:val="00416EAC"/>
    <w:rsid w:val="00417476"/>
    <w:rsid w:val="00433ECB"/>
    <w:rsid w:val="00436EF1"/>
    <w:rsid w:val="0044577A"/>
    <w:rsid w:val="00457A9A"/>
    <w:rsid w:val="00457FD3"/>
    <w:rsid w:val="00480D1E"/>
    <w:rsid w:val="004B61E7"/>
    <w:rsid w:val="004D38CE"/>
    <w:rsid w:val="004D7EB1"/>
    <w:rsid w:val="004E5C7F"/>
    <w:rsid w:val="004F3541"/>
    <w:rsid w:val="004F3EEB"/>
    <w:rsid w:val="004F693F"/>
    <w:rsid w:val="00501137"/>
    <w:rsid w:val="00501C02"/>
    <w:rsid w:val="00503B25"/>
    <w:rsid w:val="00514B48"/>
    <w:rsid w:val="00531683"/>
    <w:rsid w:val="00532DB0"/>
    <w:rsid w:val="00540361"/>
    <w:rsid w:val="005413C7"/>
    <w:rsid w:val="00554E84"/>
    <w:rsid w:val="005552EC"/>
    <w:rsid w:val="00556BA1"/>
    <w:rsid w:val="00561B83"/>
    <w:rsid w:val="005630D3"/>
    <w:rsid w:val="00574D8E"/>
    <w:rsid w:val="005A7E26"/>
    <w:rsid w:val="005B1BEE"/>
    <w:rsid w:val="005B4E01"/>
    <w:rsid w:val="005C250F"/>
    <w:rsid w:val="005C7FA3"/>
    <w:rsid w:val="005E04D0"/>
    <w:rsid w:val="005F082E"/>
    <w:rsid w:val="006200A2"/>
    <w:rsid w:val="006205AD"/>
    <w:rsid w:val="006326CD"/>
    <w:rsid w:val="00637205"/>
    <w:rsid w:val="00651DBD"/>
    <w:rsid w:val="00652456"/>
    <w:rsid w:val="006607C4"/>
    <w:rsid w:val="00662E23"/>
    <w:rsid w:val="00666FD2"/>
    <w:rsid w:val="0067160C"/>
    <w:rsid w:val="00677292"/>
    <w:rsid w:val="00681208"/>
    <w:rsid w:val="00696351"/>
    <w:rsid w:val="006A2F6E"/>
    <w:rsid w:val="006A5A4E"/>
    <w:rsid w:val="006A5FC3"/>
    <w:rsid w:val="006A6B6C"/>
    <w:rsid w:val="006B5875"/>
    <w:rsid w:val="006B770B"/>
    <w:rsid w:val="006D5FF9"/>
    <w:rsid w:val="006E5391"/>
    <w:rsid w:val="006E5526"/>
    <w:rsid w:val="006E5CED"/>
    <w:rsid w:val="00712CA5"/>
    <w:rsid w:val="00731DBB"/>
    <w:rsid w:val="00740AB6"/>
    <w:rsid w:val="00741183"/>
    <w:rsid w:val="00742FA4"/>
    <w:rsid w:val="00744066"/>
    <w:rsid w:val="00750676"/>
    <w:rsid w:val="00763005"/>
    <w:rsid w:val="00770F8C"/>
    <w:rsid w:val="007716EC"/>
    <w:rsid w:val="007924A9"/>
    <w:rsid w:val="00795E08"/>
    <w:rsid w:val="007B483F"/>
    <w:rsid w:val="007B665F"/>
    <w:rsid w:val="007C0A39"/>
    <w:rsid w:val="007C49BD"/>
    <w:rsid w:val="007E027E"/>
    <w:rsid w:val="007E33B5"/>
    <w:rsid w:val="007E7FD1"/>
    <w:rsid w:val="0080111D"/>
    <w:rsid w:val="00801244"/>
    <w:rsid w:val="00803383"/>
    <w:rsid w:val="00806369"/>
    <w:rsid w:val="00825181"/>
    <w:rsid w:val="00834538"/>
    <w:rsid w:val="00843954"/>
    <w:rsid w:val="008451D0"/>
    <w:rsid w:val="00852246"/>
    <w:rsid w:val="008526F2"/>
    <w:rsid w:val="008612F7"/>
    <w:rsid w:val="00861B3B"/>
    <w:rsid w:val="00861D54"/>
    <w:rsid w:val="00871FA9"/>
    <w:rsid w:val="00881774"/>
    <w:rsid w:val="00897103"/>
    <w:rsid w:val="00897492"/>
    <w:rsid w:val="008A3A09"/>
    <w:rsid w:val="008E0CE9"/>
    <w:rsid w:val="008E2833"/>
    <w:rsid w:val="008F084F"/>
    <w:rsid w:val="008F7DF9"/>
    <w:rsid w:val="00904244"/>
    <w:rsid w:val="00917012"/>
    <w:rsid w:val="00920E7F"/>
    <w:rsid w:val="00931685"/>
    <w:rsid w:val="00933C19"/>
    <w:rsid w:val="0094039D"/>
    <w:rsid w:val="00941622"/>
    <w:rsid w:val="00941A76"/>
    <w:rsid w:val="00942EE9"/>
    <w:rsid w:val="00944A9B"/>
    <w:rsid w:val="00946B7D"/>
    <w:rsid w:val="009545F9"/>
    <w:rsid w:val="0095661D"/>
    <w:rsid w:val="00964627"/>
    <w:rsid w:val="0096539C"/>
    <w:rsid w:val="00967E7A"/>
    <w:rsid w:val="00972D6D"/>
    <w:rsid w:val="0099634E"/>
    <w:rsid w:val="009A0B5F"/>
    <w:rsid w:val="009C32A2"/>
    <w:rsid w:val="009C4A29"/>
    <w:rsid w:val="009C5CEE"/>
    <w:rsid w:val="009C7110"/>
    <w:rsid w:val="009D282A"/>
    <w:rsid w:val="009D7C26"/>
    <w:rsid w:val="009E2B32"/>
    <w:rsid w:val="009F2DE6"/>
    <w:rsid w:val="00A10CC3"/>
    <w:rsid w:val="00A25C9E"/>
    <w:rsid w:val="00A27086"/>
    <w:rsid w:val="00A345EF"/>
    <w:rsid w:val="00A41D6E"/>
    <w:rsid w:val="00A43404"/>
    <w:rsid w:val="00A50B5F"/>
    <w:rsid w:val="00A55C69"/>
    <w:rsid w:val="00A56F98"/>
    <w:rsid w:val="00A63B12"/>
    <w:rsid w:val="00A73254"/>
    <w:rsid w:val="00A761C9"/>
    <w:rsid w:val="00A76362"/>
    <w:rsid w:val="00A80F6F"/>
    <w:rsid w:val="00A8661B"/>
    <w:rsid w:val="00A91A20"/>
    <w:rsid w:val="00A95DE7"/>
    <w:rsid w:val="00AA5B6D"/>
    <w:rsid w:val="00AC2E70"/>
    <w:rsid w:val="00AD740B"/>
    <w:rsid w:val="00AD7429"/>
    <w:rsid w:val="00AF039F"/>
    <w:rsid w:val="00AF2EC5"/>
    <w:rsid w:val="00B04D50"/>
    <w:rsid w:val="00B061D5"/>
    <w:rsid w:val="00B063B6"/>
    <w:rsid w:val="00B13346"/>
    <w:rsid w:val="00B14157"/>
    <w:rsid w:val="00B2081B"/>
    <w:rsid w:val="00B2634C"/>
    <w:rsid w:val="00B4231B"/>
    <w:rsid w:val="00B61057"/>
    <w:rsid w:val="00B706DC"/>
    <w:rsid w:val="00B77869"/>
    <w:rsid w:val="00B86436"/>
    <w:rsid w:val="00B91142"/>
    <w:rsid w:val="00BA1B14"/>
    <w:rsid w:val="00BB2954"/>
    <w:rsid w:val="00BB3A37"/>
    <w:rsid w:val="00BD06F7"/>
    <w:rsid w:val="00BD5100"/>
    <w:rsid w:val="00BE2C22"/>
    <w:rsid w:val="00BE39A2"/>
    <w:rsid w:val="00BE51F4"/>
    <w:rsid w:val="00BF5258"/>
    <w:rsid w:val="00BF5FE2"/>
    <w:rsid w:val="00C06805"/>
    <w:rsid w:val="00C10A00"/>
    <w:rsid w:val="00C26EE8"/>
    <w:rsid w:val="00C3077B"/>
    <w:rsid w:val="00C36A3F"/>
    <w:rsid w:val="00C419C5"/>
    <w:rsid w:val="00C43910"/>
    <w:rsid w:val="00C53262"/>
    <w:rsid w:val="00C66F1B"/>
    <w:rsid w:val="00C84798"/>
    <w:rsid w:val="00C85B9F"/>
    <w:rsid w:val="00C86857"/>
    <w:rsid w:val="00C914FB"/>
    <w:rsid w:val="00CA02B7"/>
    <w:rsid w:val="00CA4C29"/>
    <w:rsid w:val="00CB7AE9"/>
    <w:rsid w:val="00CF3A16"/>
    <w:rsid w:val="00CF4EAE"/>
    <w:rsid w:val="00D00650"/>
    <w:rsid w:val="00D132D6"/>
    <w:rsid w:val="00D27E67"/>
    <w:rsid w:val="00D65990"/>
    <w:rsid w:val="00D721CE"/>
    <w:rsid w:val="00D84352"/>
    <w:rsid w:val="00D914F6"/>
    <w:rsid w:val="00DB36F5"/>
    <w:rsid w:val="00DD1342"/>
    <w:rsid w:val="00DE25E9"/>
    <w:rsid w:val="00DF02F5"/>
    <w:rsid w:val="00E11AA2"/>
    <w:rsid w:val="00E218D8"/>
    <w:rsid w:val="00E21942"/>
    <w:rsid w:val="00E378E8"/>
    <w:rsid w:val="00E44001"/>
    <w:rsid w:val="00E54AB4"/>
    <w:rsid w:val="00E76FB6"/>
    <w:rsid w:val="00E860D3"/>
    <w:rsid w:val="00E9612A"/>
    <w:rsid w:val="00EA6BCE"/>
    <w:rsid w:val="00EB3849"/>
    <w:rsid w:val="00EC48F8"/>
    <w:rsid w:val="00EC49E6"/>
    <w:rsid w:val="00EE4803"/>
    <w:rsid w:val="00F01EBE"/>
    <w:rsid w:val="00F05699"/>
    <w:rsid w:val="00F21801"/>
    <w:rsid w:val="00F425BB"/>
    <w:rsid w:val="00F52765"/>
    <w:rsid w:val="00F54B94"/>
    <w:rsid w:val="00F56065"/>
    <w:rsid w:val="00F63A45"/>
    <w:rsid w:val="00F661B3"/>
    <w:rsid w:val="00F66F6E"/>
    <w:rsid w:val="00F744C8"/>
    <w:rsid w:val="00F80316"/>
    <w:rsid w:val="00F827C8"/>
    <w:rsid w:val="00F85E8B"/>
    <w:rsid w:val="00F86872"/>
    <w:rsid w:val="00F874F6"/>
    <w:rsid w:val="00F9345E"/>
    <w:rsid w:val="00F96E96"/>
    <w:rsid w:val="00FB21D6"/>
    <w:rsid w:val="00FB2344"/>
    <w:rsid w:val="00FB60D7"/>
    <w:rsid w:val="00FD3008"/>
    <w:rsid w:val="00FE5B9D"/>
    <w:rsid w:val="00FF29C8"/>
    <w:rsid w:val="5D9D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character" w:styleId="10">
    <w:name w:val="page number"/>
    <w:basedOn w:val="9"/>
    <w:qFormat/>
    <w:uiPriority w:val="0"/>
  </w:style>
  <w:style w:type="character" w:styleId="11">
    <w:name w:val="FollowedHyperlink"/>
    <w:basedOn w:val="9"/>
    <w:qFormat/>
    <w:uiPriority w:val="0"/>
    <w:rPr>
      <w:color w:val="954F72" w:themeColor="followedHyperlink"/>
      <w:u w:val="single"/>
      <w14:textFill>
        <w14:solidFill>
          <w14:schemeClr w14:val="folHlink"/>
        </w14:solidFill>
      </w14:textFill>
    </w:r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paragraph" w:customStyle="1" w:styleId="14">
    <w:name w:val="Char Char Char Char"/>
    <w:basedOn w:val="1"/>
    <w:qFormat/>
    <w:uiPriority w:val="0"/>
    <w:rPr>
      <w:kern w:val="0"/>
      <w:sz w:val="24"/>
      <w:szCs w:val="20"/>
    </w:rPr>
  </w:style>
  <w:style w:type="character" w:customStyle="1" w:styleId="15">
    <w:name w:val="页眉 Char"/>
    <w:link w:val="6"/>
    <w:qFormat/>
    <w:uiPriority w:val="0"/>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268</Words>
  <Characters>1528</Characters>
  <Lines>12</Lines>
  <Paragraphs>3</Paragraphs>
  <TotalTime>28</TotalTime>
  <ScaleCrop>false</ScaleCrop>
  <LinksUpToDate>false</LinksUpToDate>
  <CharactersWithSpaces>1793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2025-04-11T01:47:00Z</dcterms:created>
  <dc:creator>MiaoQinghui</dc:creator>
  <cp:lastModifiedBy>chaijingbo</cp:lastModifiedBy>
  <cp:lastPrinted>2016-01-28T09:13:00Z</cp:lastPrinted>
  <dcterms:modified xsi:type="dcterms:W3CDTF">2025-05-07T02:51:13Z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y fmtid="{D5CDD505-2E9C-101B-9397-08002B2CF9AE}" pid="5" name="KSOProductBuildVer">
    <vt:lpwstr>2052-12.8.2.18606</vt:lpwstr>
  </property>
  <property fmtid="{D5CDD505-2E9C-101B-9397-08002B2CF9AE}" pid="6" name="ICV">
    <vt:lpwstr>1CE4CCEAE2EB4E939C4A2A61CF01DC4F_12</vt:lpwstr>
  </property>
</Properties>
</file>