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1B" w:rsidRPr="00F24C98" w:rsidRDefault="00A8661B" w:rsidP="00A8661B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楷体_GB2312" w:eastAsia="楷体_GB2312" w:hAnsi="宋体" w:cs="华文楷体"/>
          <w:b/>
          <w:kern w:val="0"/>
          <w:sz w:val="30"/>
          <w:szCs w:val="30"/>
        </w:rPr>
      </w:pPr>
      <w:r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中国东方资产管理</w:t>
      </w:r>
      <w:r w:rsidR="00205036"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股份</w:t>
      </w:r>
      <w:r w:rsidR="00205036" w:rsidRPr="00F24C98">
        <w:rPr>
          <w:rFonts w:ascii="楷体_GB2312" w:eastAsia="楷体_GB2312" w:hAnsi="宋体" w:cs="华文楷体"/>
          <w:b/>
          <w:kern w:val="0"/>
          <w:sz w:val="30"/>
          <w:szCs w:val="30"/>
        </w:rPr>
        <w:t>有限</w:t>
      </w:r>
      <w:r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公司</w:t>
      </w:r>
      <w:r w:rsidR="00F24C98"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四川省</w:t>
      </w:r>
      <w:r w:rsidR="00205036" w:rsidRPr="00F24C98">
        <w:rPr>
          <w:rFonts w:ascii="楷体_GB2312" w:eastAsia="楷体_GB2312" w:hAnsi="宋体" w:cs="华文楷体"/>
          <w:b/>
          <w:kern w:val="0"/>
          <w:sz w:val="30"/>
          <w:szCs w:val="30"/>
        </w:rPr>
        <w:t>分公司</w:t>
      </w:r>
    </w:p>
    <w:p w:rsidR="00A8661B" w:rsidRPr="00F24C98" w:rsidRDefault="00A8661B" w:rsidP="00A8661B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楷体_GB2312" w:eastAsia="楷体_GB2312" w:hAnsi="宋体" w:cs="华文楷体"/>
          <w:b/>
          <w:kern w:val="0"/>
          <w:sz w:val="30"/>
          <w:szCs w:val="30"/>
        </w:rPr>
      </w:pPr>
      <w:r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公开处置不良资产</w:t>
      </w:r>
      <w:r w:rsidR="00C84798"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包</w:t>
      </w:r>
      <w:r w:rsidRPr="00F24C98">
        <w:rPr>
          <w:rFonts w:ascii="楷体_GB2312" w:eastAsia="楷体_GB2312" w:hAnsi="宋体" w:cs="华文楷体" w:hint="eastAsia"/>
          <w:b/>
          <w:kern w:val="0"/>
          <w:sz w:val="30"/>
          <w:szCs w:val="30"/>
        </w:rPr>
        <w:t>公告</w:t>
      </w:r>
    </w:p>
    <w:p w:rsidR="00A8661B" w:rsidRPr="00F24C98" w:rsidRDefault="00A8661B" w:rsidP="0020706E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楷体_GB2312" w:eastAsia="楷体_GB2312" w:hAnsi="宋体" w:cs="华文楷体"/>
          <w:b/>
          <w:kern w:val="0"/>
          <w:sz w:val="24"/>
        </w:rPr>
      </w:pPr>
    </w:p>
    <w:p w:rsidR="005552EC" w:rsidRPr="00F24C98" w:rsidRDefault="002D3048" w:rsidP="002D3048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中国东方资产管理股份有限公司</w:t>
      </w:r>
      <w:r w:rsidR="00F24C98" w:rsidRPr="00F24C98">
        <w:rPr>
          <w:rFonts w:ascii="楷体_GB2312" w:eastAsia="楷体_GB2312" w:hAnsi="宋体" w:hint="eastAsia"/>
          <w:sz w:val="24"/>
        </w:rPr>
        <w:t>四川省</w:t>
      </w:r>
      <w:r w:rsidRPr="00F24C98">
        <w:rPr>
          <w:rFonts w:ascii="楷体_GB2312" w:eastAsia="楷体_GB2312" w:hAnsi="宋体" w:hint="eastAsia"/>
          <w:sz w:val="24"/>
        </w:rPr>
        <w:t>分公司（以下称为“东方”）</w:t>
      </w:r>
      <w:r w:rsidR="005552EC" w:rsidRPr="00F24C98">
        <w:rPr>
          <w:rFonts w:ascii="楷体_GB2312" w:eastAsia="楷体_GB2312" w:hAnsi="宋体" w:hint="eastAsia"/>
          <w:sz w:val="24"/>
        </w:rPr>
        <w:t>拟公开处置以下资产（以下称为“标的资产”）：</w:t>
      </w:r>
      <w:r w:rsidR="00F24C98" w:rsidRPr="00F24C98">
        <w:rPr>
          <w:rFonts w:ascii="楷体_GB2312" w:eastAsia="楷体_GB2312" w:hAnsi="宋体" w:hint="eastAsia"/>
          <w:sz w:val="24"/>
        </w:rPr>
        <w:t xml:space="preserve"> </w:t>
      </w:r>
    </w:p>
    <w:p w:rsidR="00F24C98" w:rsidRPr="00F24C98" w:rsidRDefault="00C43910" w:rsidP="00F24C98">
      <w:pPr>
        <w:spacing w:before="156"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对</w:t>
      </w:r>
      <w:r w:rsidR="00F24C98" w:rsidRPr="00F24C98">
        <w:rPr>
          <w:rFonts w:ascii="楷体_GB2312" w:eastAsia="楷体_GB2312" w:hAnsi="宋体" w:hint="eastAsia"/>
          <w:sz w:val="24"/>
        </w:rPr>
        <w:t>四川</w:t>
      </w:r>
      <w:r w:rsidRPr="00F24C98">
        <w:rPr>
          <w:rFonts w:ascii="楷体_GB2312" w:eastAsia="楷体_GB2312" w:hAnsi="宋体" w:hint="eastAsia"/>
          <w:sz w:val="24"/>
        </w:rPr>
        <w:t>省境内</w:t>
      </w:r>
      <w:r w:rsidR="00F24C98" w:rsidRPr="00F24C98">
        <w:rPr>
          <w:rFonts w:ascii="楷体_GB2312" w:eastAsia="楷体_GB2312" w:hAnsi="宋体" w:hint="eastAsia"/>
          <w:sz w:val="24"/>
        </w:rPr>
        <w:t>14</w:t>
      </w:r>
      <w:r w:rsidRPr="00F24C98">
        <w:rPr>
          <w:rFonts w:ascii="楷体_GB2312" w:eastAsia="楷体_GB2312" w:hAnsi="宋体" w:hint="eastAsia"/>
          <w:sz w:val="24"/>
        </w:rPr>
        <w:t>户</w:t>
      </w:r>
      <w:r w:rsidRPr="00F24C98">
        <w:rPr>
          <w:rFonts w:ascii="楷体_GB2312" w:eastAsia="楷体_GB2312" w:hAnsi="宋体"/>
          <w:sz w:val="24"/>
        </w:rPr>
        <w:t>债务人</w:t>
      </w:r>
      <w:r w:rsidRPr="00F24C98">
        <w:rPr>
          <w:rFonts w:ascii="楷体_GB2312" w:eastAsia="楷体_GB2312" w:hAnsi="宋体" w:hint="eastAsia"/>
          <w:sz w:val="24"/>
        </w:rPr>
        <w:t>所享有的债权及其附属担保权益，该等</w:t>
      </w:r>
      <w:r w:rsidRPr="00F24C98">
        <w:rPr>
          <w:rFonts w:ascii="楷体_GB2312" w:eastAsia="楷体_GB2312" w:hAnsi="宋体"/>
          <w:sz w:val="24"/>
        </w:rPr>
        <w:t>债权及其附属担保权益的</w:t>
      </w:r>
      <w:r w:rsidRPr="00F24C98">
        <w:rPr>
          <w:rFonts w:ascii="楷体_GB2312" w:eastAsia="楷体_GB2312" w:hAnsi="宋体" w:hint="eastAsia"/>
          <w:sz w:val="24"/>
        </w:rPr>
        <w:t>所</w:t>
      </w:r>
      <w:r w:rsidRPr="00F24C98">
        <w:rPr>
          <w:rFonts w:ascii="楷体_GB2312" w:eastAsia="楷体_GB2312" w:hAnsi="宋体"/>
          <w:sz w:val="24"/>
        </w:rPr>
        <w:t>有人</w:t>
      </w:r>
      <w:r w:rsidRPr="00F24C98">
        <w:rPr>
          <w:rFonts w:ascii="楷体_GB2312" w:eastAsia="楷体_GB2312" w:hAnsi="宋体" w:hint="eastAsia"/>
          <w:sz w:val="24"/>
        </w:rPr>
        <w:t>为东方截至</w:t>
      </w:r>
      <w:r w:rsidR="00F24C98" w:rsidRPr="00F24C98">
        <w:rPr>
          <w:rFonts w:ascii="楷体_GB2312" w:eastAsia="楷体_GB2312" w:hAnsi="宋体" w:hint="eastAsia"/>
          <w:sz w:val="24"/>
        </w:rPr>
        <w:t>2024</w:t>
      </w:r>
      <w:r w:rsidRPr="00F24C98">
        <w:rPr>
          <w:rFonts w:ascii="楷体_GB2312" w:eastAsia="楷体_GB2312" w:hAnsi="宋体" w:hint="eastAsia"/>
          <w:sz w:val="24"/>
        </w:rPr>
        <w:t>年</w:t>
      </w:r>
      <w:r w:rsidR="00F24C98" w:rsidRPr="00F24C98">
        <w:rPr>
          <w:rFonts w:ascii="楷体_GB2312" w:eastAsia="楷体_GB2312" w:hAnsi="宋体" w:hint="eastAsia"/>
          <w:sz w:val="24"/>
        </w:rPr>
        <w:t>12</w:t>
      </w:r>
      <w:r w:rsidRPr="00F24C98">
        <w:rPr>
          <w:rFonts w:ascii="楷体_GB2312" w:eastAsia="楷体_GB2312" w:hAnsi="宋体" w:hint="eastAsia"/>
          <w:sz w:val="24"/>
        </w:rPr>
        <w:t>月</w:t>
      </w:r>
      <w:r w:rsidR="00F24C98" w:rsidRPr="00F24C98">
        <w:rPr>
          <w:rFonts w:ascii="楷体_GB2312" w:eastAsia="楷体_GB2312" w:hAnsi="宋体" w:hint="eastAsia"/>
          <w:sz w:val="24"/>
        </w:rPr>
        <w:t>4</w:t>
      </w:r>
      <w:r w:rsidRPr="00F24C98">
        <w:rPr>
          <w:rFonts w:ascii="楷体_GB2312" w:eastAsia="楷体_GB2312" w:hAnsi="宋体" w:hint="eastAsia"/>
          <w:sz w:val="24"/>
        </w:rPr>
        <w:t>日，该等债权</w:t>
      </w:r>
      <w:r w:rsidRPr="00F24C98">
        <w:rPr>
          <w:rFonts w:ascii="楷体_GB2312" w:eastAsia="楷体_GB2312" w:hAnsi="宋体"/>
          <w:sz w:val="24"/>
        </w:rPr>
        <w:t>项下</w:t>
      </w:r>
      <w:proofErr w:type="gramStart"/>
      <w:r w:rsidRPr="00F24C98">
        <w:rPr>
          <w:rFonts w:ascii="楷体_GB2312" w:eastAsia="楷体_GB2312" w:hAnsi="宋体" w:hint="eastAsia"/>
          <w:sz w:val="24"/>
        </w:rPr>
        <w:t>未偿</w:t>
      </w:r>
      <w:proofErr w:type="gramEnd"/>
      <w:r w:rsidRPr="00F24C98">
        <w:rPr>
          <w:rFonts w:ascii="楷体_GB2312" w:eastAsia="楷体_GB2312" w:hAnsi="宋体" w:hint="eastAsia"/>
          <w:sz w:val="24"/>
        </w:rPr>
        <w:t>本息合计人民币</w:t>
      </w:r>
      <w:r w:rsidR="00F24C98" w:rsidRPr="00F24C98">
        <w:rPr>
          <w:rFonts w:ascii="楷体_GB2312" w:eastAsia="楷体_GB2312" w:hAnsi="宋体"/>
          <w:sz w:val="24"/>
        </w:rPr>
        <w:t>55,424,315.68</w:t>
      </w:r>
      <w:r w:rsidRPr="00F24C98">
        <w:rPr>
          <w:rFonts w:ascii="楷体_GB2312" w:eastAsia="楷体_GB2312" w:hAnsi="宋体" w:hint="eastAsia"/>
          <w:sz w:val="24"/>
        </w:rPr>
        <w:t>元，其中</w:t>
      </w:r>
      <w:proofErr w:type="gramStart"/>
      <w:r w:rsidRPr="00F24C98">
        <w:rPr>
          <w:rFonts w:ascii="楷体_GB2312" w:eastAsia="楷体_GB2312" w:hAnsi="宋体" w:hint="eastAsia"/>
          <w:sz w:val="24"/>
        </w:rPr>
        <w:t>未偿</w:t>
      </w:r>
      <w:proofErr w:type="gramEnd"/>
      <w:r w:rsidRPr="00F24C98">
        <w:rPr>
          <w:rFonts w:ascii="楷体_GB2312" w:eastAsia="楷体_GB2312" w:hAnsi="宋体" w:hint="eastAsia"/>
          <w:sz w:val="24"/>
        </w:rPr>
        <w:t>本金人民币</w:t>
      </w:r>
      <w:r w:rsidR="00F24C98" w:rsidRPr="00F24C98">
        <w:rPr>
          <w:rFonts w:ascii="楷体_GB2312" w:eastAsia="楷体_GB2312" w:hAnsi="宋体"/>
          <w:sz w:val="24"/>
        </w:rPr>
        <w:t>53,265,249.24</w:t>
      </w:r>
      <w:r w:rsidRPr="00F24C98">
        <w:rPr>
          <w:rFonts w:ascii="楷体_GB2312" w:eastAsia="楷体_GB2312" w:hAnsi="宋体" w:hint="eastAsia"/>
          <w:sz w:val="24"/>
        </w:rPr>
        <w:t>元，</w:t>
      </w:r>
      <w:proofErr w:type="gramStart"/>
      <w:r w:rsidRPr="00F24C98">
        <w:rPr>
          <w:rFonts w:ascii="楷体_GB2312" w:eastAsia="楷体_GB2312" w:hAnsi="宋体" w:hint="eastAsia"/>
          <w:sz w:val="24"/>
        </w:rPr>
        <w:t>未偿</w:t>
      </w:r>
      <w:proofErr w:type="gramEnd"/>
      <w:r w:rsidRPr="00F24C98">
        <w:rPr>
          <w:rFonts w:ascii="楷体_GB2312" w:eastAsia="楷体_GB2312" w:hAnsi="宋体" w:hint="eastAsia"/>
          <w:sz w:val="24"/>
        </w:rPr>
        <w:t>利息人民币</w:t>
      </w:r>
      <w:r w:rsidR="00F24C98" w:rsidRPr="00F24C98">
        <w:rPr>
          <w:rFonts w:ascii="楷体_GB2312" w:eastAsia="楷体_GB2312" w:hAnsi="宋体"/>
          <w:sz w:val="24"/>
        </w:rPr>
        <w:t>2,139,859.44</w:t>
      </w:r>
      <w:r w:rsidRPr="00F24C98">
        <w:rPr>
          <w:rFonts w:ascii="楷体_GB2312" w:eastAsia="楷体_GB2312" w:hAnsi="宋体" w:hint="eastAsia"/>
          <w:sz w:val="24"/>
        </w:rPr>
        <w:t>元</w:t>
      </w:r>
      <w:r w:rsidR="00F24C98" w:rsidRPr="00F24C98">
        <w:rPr>
          <w:rFonts w:ascii="楷体_GB2312" w:eastAsia="楷体_GB2312" w:hAnsi="宋体" w:hint="eastAsia"/>
          <w:sz w:val="24"/>
        </w:rPr>
        <w:t>，代垫费用</w:t>
      </w:r>
      <w:r w:rsidR="00F24C98" w:rsidRPr="00F24C98">
        <w:rPr>
          <w:rFonts w:ascii="楷体_GB2312" w:eastAsia="楷体_GB2312" w:hAnsi="宋体"/>
          <w:sz w:val="24"/>
        </w:rPr>
        <w:t>19,207.00</w:t>
      </w:r>
      <w:r w:rsidR="00F24C98" w:rsidRPr="00F24C98">
        <w:rPr>
          <w:rFonts w:ascii="楷体_GB2312" w:eastAsia="楷体_GB2312" w:hAnsi="宋体" w:hint="eastAsia"/>
          <w:sz w:val="24"/>
        </w:rPr>
        <w:t>元</w:t>
      </w:r>
      <w:r w:rsidRPr="00F24C98">
        <w:rPr>
          <w:rFonts w:ascii="楷体_GB2312" w:eastAsia="楷体_GB2312" w:hAnsi="宋体" w:hint="eastAsia"/>
          <w:sz w:val="24"/>
        </w:rPr>
        <w:t>；</w:t>
      </w:r>
    </w:p>
    <w:p w:rsidR="0020706E" w:rsidRPr="00F24C98" w:rsidRDefault="005552EC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标的资产</w:t>
      </w:r>
      <w:r w:rsidR="0020706E" w:rsidRPr="00F24C98">
        <w:rPr>
          <w:rFonts w:ascii="楷体_GB2312" w:eastAsia="楷体_GB2312" w:hAnsi="宋体"/>
          <w:sz w:val="24"/>
        </w:rPr>
        <w:t>具体情况</w:t>
      </w:r>
      <w:r w:rsidR="0020706E" w:rsidRPr="00F24C98">
        <w:rPr>
          <w:rFonts w:ascii="楷体_GB2312" w:eastAsia="楷体_GB2312" w:hAnsi="宋体" w:hint="eastAsia"/>
          <w:sz w:val="24"/>
        </w:rPr>
        <w:t>详见</w:t>
      </w:r>
      <w:r w:rsidR="0020706E" w:rsidRPr="00F24C98">
        <w:rPr>
          <w:rFonts w:ascii="楷体_GB2312" w:eastAsia="楷体_GB2312" w:hAnsi="宋体"/>
          <w:sz w:val="24"/>
        </w:rPr>
        <w:t>附件。</w:t>
      </w:r>
    </w:p>
    <w:p w:rsidR="00A8661B" w:rsidRPr="00F24C98" w:rsidRDefault="00A8661B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特别提示：</w:t>
      </w:r>
      <w:r w:rsidR="000E6610" w:rsidRPr="00F24C98">
        <w:rPr>
          <w:rFonts w:ascii="楷体_GB2312" w:eastAsia="楷体_GB2312" w:hAnsi="宋体" w:hint="eastAsia"/>
          <w:sz w:val="24"/>
        </w:rPr>
        <w:t>标的资产</w:t>
      </w:r>
      <w:r w:rsidRPr="00F24C98">
        <w:rPr>
          <w:rFonts w:ascii="楷体_GB2312" w:eastAsia="楷体_GB2312" w:hAnsi="宋体" w:hint="eastAsia"/>
          <w:sz w:val="24"/>
        </w:rPr>
        <w:t>信息仅供</w:t>
      </w:r>
      <w:r w:rsidR="00904244" w:rsidRPr="00F24C98">
        <w:rPr>
          <w:rFonts w:ascii="楷体_GB2312" w:eastAsia="楷体_GB2312" w:hAnsi="宋体" w:hint="eastAsia"/>
          <w:sz w:val="24"/>
        </w:rPr>
        <w:t>投资者</w:t>
      </w:r>
      <w:r w:rsidRPr="00F24C98">
        <w:rPr>
          <w:rFonts w:ascii="楷体_GB2312" w:eastAsia="楷体_GB2312" w:hAnsi="宋体" w:hint="eastAsia"/>
          <w:sz w:val="24"/>
        </w:rPr>
        <w:t>参考。就</w:t>
      </w:r>
      <w:r w:rsidR="000E6610" w:rsidRPr="00F24C98">
        <w:rPr>
          <w:rFonts w:ascii="楷体_GB2312" w:eastAsia="楷体_GB2312" w:hAnsi="宋体" w:hint="eastAsia"/>
          <w:sz w:val="24"/>
        </w:rPr>
        <w:t>标的资产</w:t>
      </w:r>
      <w:r w:rsidR="00BE39A2" w:rsidRPr="00F24C98">
        <w:rPr>
          <w:rFonts w:ascii="楷体_GB2312" w:eastAsia="楷体_GB2312" w:hAnsi="宋体"/>
          <w:sz w:val="24"/>
        </w:rPr>
        <w:t>项下</w:t>
      </w:r>
      <w:r w:rsidR="00E76FB6" w:rsidRPr="00F24C98">
        <w:rPr>
          <w:rFonts w:ascii="楷体_GB2312" w:eastAsia="楷体_GB2312" w:hAnsi="宋体" w:hint="eastAsia"/>
          <w:sz w:val="24"/>
        </w:rPr>
        <w:t>各</w:t>
      </w:r>
      <w:r w:rsidR="00CB7AE9" w:rsidRPr="00F24C98">
        <w:rPr>
          <w:rFonts w:ascii="楷体_GB2312" w:eastAsia="楷体_GB2312" w:hAnsi="宋体" w:hint="eastAsia"/>
          <w:sz w:val="24"/>
        </w:rPr>
        <w:t>笔</w:t>
      </w:r>
      <w:r w:rsidRPr="00F24C98">
        <w:rPr>
          <w:rFonts w:ascii="楷体_GB2312" w:eastAsia="楷体_GB2312" w:hAnsi="宋体" w:hint="eastAsia"/>
          <w:sz w:val="24"/>
        </w:rPr>
        <w:t>债权</w:t>
      </w:r>
      <w:r w:rsidR="00CB7AE9" w:rsidRPr="00F24C98">
        <w:rPr>
          <w:rFonts w:ascii="楷体_GB2312" w:eastAsia="楷体_GB2312" w:hAnsi="宋体" w:hint="eastAsia"/>
          <w:sz w:val="24"/>
        </w:rPr>
        <w:t>及其</w:t>
      </w:r>
      <w:r w:rsidR="00A73254" w:rsidRPr="00F24C98">
        <w:rPr>
          <w:rFonts w:ascii="楷体_GB2312" w:eastAsia="楷体_GB2312" w:hAnsi="宋体" w:hint="eastAsia"/>
          <w:sz w:val="24"/>
        </w:rPr>
        <w:t>附属</w:t>
      </w:r>
      <w:r w:rsidR="00E76FB6" w:rsidRPr="00F24C98">
        <w:rPr>
          <w:rFonts w:ascii="楷体_GB2312" w:eastAsia="楷体_GB2312" w:hAnsi="宋体" w:hint="eastAsia"/>
          <w:sz w:val="24"/>
        </w:rPr>
        <w:t>担保</w:t>
      </w:r>
      <w:r w:rsidR="00A73254" w:rsidRPr="00F24C98">
        <w:rPr>
          <w:rFonts w:ascii="楷体_GB2312" w:eastAsia="楷体_GB2312" w:hAnsi="宋体" w:hint="eastAsia"/>
          <w:sz w:val="24"/>
        </w:rPr>
        <w:t>权益</w:t>
      </w:r>
      <w:r w:rsidRPr="00F24C98">
        <w:rPr>
          <w:rFonts w:ascii="楷体_GB2312" w:eastAsia="楷体_GB2312" w:hAnsi="宋体" w:hint="eastAsia"/>
          <w:sz w:val="24"/>
        </w:rPr>
        <w:t>的</w:t>
      </w:r>
      <w:r w:rsidR="00801244" w:rsidRPr="00F24C98">
        <w:rPr>
          <w:rFonts w:ascii="楷体_GB2312" w:eastAsia="楷体_GB2312" w:hAnsi="宋体" w:hint="eastAsia"/>
          <w:sz w:val="24"/>
        </w:rPr>
        <w:t>合法</w:t>
      </w:r>
      <w:r w:rsidR="00801244" w:rsidRPr="00F24C98">
        <w:rPr>
          <w:rFonts w:ascii="楷体_GB2312" w:eastAsia="楷体_GB2312" w:hAnsi="宋体"/>
          <w:sz w:val="24"/>
        </w:rPr>
        <w:t>有效性</w:t>
      </w:r>
      <w:r w:rsidR="00801244" w:rsidRPr="00F24C98">
        <w:rPr>
          <w:rFonts w:ascii="楷体_GB2312" w:eastAsia="楷体_GB2312" w:hAnsi="宋体" w:hint="eastAsia"/>
          <w:sz w:val="24"/>
        </w:rPr>
        <w:t>及</w:t>
      </w:r>
      <w:r w:rsidR="00801244" w:rsidRPr="00F24C98">
        <w:rPr>
          <w:rFonts w:ascii="楷体_GB2312" w:eastAsia="楷体_GB2312" w:hAnsi="宋体"/>
          <w:sz w:val="24"/>
        </w:rPr>
        <w:t>时效</w:t>
      </w:r>
      <w:r w:rsidR="00BE39A2" w:rsidRPr="00F24C98">
        <w:rPr>
          <w:rFonts w:ascii="楷体_GB2312" w:eastAsia="楷体_GB2312" w:hAnsi="宋体" w:hint="eastAsia"/>
          <w:sz w:val="24"/>
        </w:rPr>
        <w:t>，</w:t>
      </w:r>
      <w:r w:rsidR="00F52765" w:rsidRPr="00F24C98">
        <w:rPr>
          <w:rFonts w:ascii="楷体_GB2312" w:eastAsia="楷体_GB2312" w:hAnsi="宋体" w:hint="eastAsia"/>
          <w:sz w:val="24"/>
        </w:rPr>
        <w:t>以</w:t>
      </w:r>
      <w:r w:rsidR="00F52765" w:rsidRPr="00F24C98">
        <w:rPr>
          <w:rFonts w:ascii="楷体_GB2312" w:eastAsia="楷体_GB2312" w:hAnsi="宋体"/>
          <w:sz w:val="24"/>
        </w:rPr>
        <w:t>及债务人、担保人现状</w:t>
      </w:r>
      <w:r w:rsidRPr="00F24C98">
        <w:rPr>
          <w:rFonts w:ascii="楷体_GB2312" w:eastAsia="楷体_GB2312" w:hAnsi="宋体" w:hint="eastAsia"/>
          <w:sz w:val="24"/>
        </w:rPr>
        <w:t>等，请投资者自行调查及判断，</w:t>
      </w:r>
      <w:r w:rsidR="00096C89" w:rsidRPr="00F24C98">
        <w:rPr>
          <w:rFonts w:ascii="楷体_GB2312" w:eastAsia="楷体_GB2312" w:hAnsi="宋体" w:hint="eastAsia"/>
          <w:sz w:val="24"/>
        </w:rPr>
        <w:t>东方</w:t>
      </w:r>
      <w:r w:rsidRPr="00F24C98">
        <w:rPr>
          <w:rFonts w:ascii="楷体_GB2312" w:eastAsia="楷体_GB2312" w:hAnsi="宋体" w:hint="eastAsia"/>
          <w:sz w:val="24"/>
        </w:rPr>
        <w:t>对此不作任何保证</w:t>
      </w:r>
      <w:r w:rsidR="00D27E67" w:rsidRPr="00F24C98">
        <w:rPr>
          <w:rFonts w:ascii="楷体_GB2312" w:eastAsia="楷体_GB2312" w:hAnsi="宋体" w:hint="eastAsia"/>
          <w:sz w:val="24"/>
        </w:rPr>
        <w:t>。</w:t>
      </w:r>
    </w:p>
    <w:p w:rsidR="00931685" w:rsidRPr="00F24C98" w:rsidRDefault="000E6610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标的资产</w:t>
      </w:r>
      <w:r w:rsidR="00A8661B" w:rsidRPr="00F24C98">
        <w:rPr>
          <w:rFonts w:ascii="楷体_GB2312" w:eastAsia="楷体_GB2312" w:hAnsi="宋体" w:hint="eastAsia"/>
          <w:sz w:val="24"/>
        </w:rPr>
        <w:t>的意向投资者须为具有相应购买能力的、在</w:t>
      </w:r>
      <w:r w:rsidR="00B86436" w:rsidRPr="00F24C98">
        <w:rPr>
          <w:rFonts w:ascii="楷体_GB2312" w:eastAsia="楷体_GB2312" w:hAnsi="宋体" w:hint="eastAsia"/>
          <w:sz w:val="24"/>
        </w:rPr>
        <w:t>中国</w:t>
      </w:r>
      <w:r w:rsidR="00B86436" w:rsidRPr="00F24C98">
        <w:rPr>
          <w:rFonts w:ascii="楷体_GB2312" w:eastAsia="楷体_GB2312" w:hAnsi="宋体"/>
          <w:sz w:val="24"/>
        </w:rPr>
        <w:t>境内</w:t>
      </w:r>
      <w:r w:rsidR="008E0CE9" w:rsidRPr="00F24C98">
        <w:rPr>
          <w:rFonts w:ascii="楷体_GB2312" w:eastAsia="楷体_GB2312" w:hAnsi="宋体" w:hint="eastAsia"/>
          <w:sz w:val="24"/>
        </w:rPr>
        <w:t>依法</w:t>
      </w:r>
      <w:r w:rsidR="00D132D6" w:rsidRPr="00F24C98">
        <w:rPr>
          <w:rFonts w:ascii="楷体_GB2312" w:eastAsia="楷体_GB2312" w:hAnsi="宋体" w:hint="eastAsia"/>
          <w:sz w:val="24"/>
        </w:rPr>
        <w:t>注册</w:t>
      </w:r>
      <w:r w:rsidR="00651DBD" w:rsidRPr="00F24C98">
        <w:rPr>
          <w:rFonts w:ascii="楷体_GB2312" w:eastAsia="楷体_GB2312" w:hAnsi="宋体" w:hint="eastAsia"/>
          <w:sz w:val="24"/>
        </w:rPr>
        <w:t>并存续</w:t>
      </w:r>
      <w:r w:rsidR="00D132D6" w:rsidRPr="00F24C98">
        <w:rPr>
          <w:rFonts w:ascii="楷体_GB2312" w:eastAsia="楷体_GB2312" w:hAnsi="宋体" w:hint="eastAsia"/>
          <w:sz w:val="24"/>
        </w:rPr>
        <w:t>的公司、企业或其他</w:t>
      </w:r>
      <w:r w:rsidR="00A8661B" w:rsidRPr="00F24C98">
        <w:rPr>
          <w:rFonts w:ascii="楷体_GB2312" w:eastAsia="楷体_GB2312" w:hAnsi="宋体" w:hint="eastAsia"/>
          <w:sz w:val="24"/>
        </w:rPr>
        <w:t>经济组织或</w:t>
      </w:r>
      <w:r w:rsidR="00B86436" w:rsidRPr="00F24C98">
        <w:rPr>
          <w:rFonts w:ascii="楷体_GB2312" w:eastAsia="楷体_GB2312" w:hAnsi="宋体" w:hint="eastAsia"/>
          <w:sz w:val="24"/>
        </w:rPr>
        <w:t>中</w:t>
      </w:r>
      <w:r w:rsidR="004E5C7F" w:rsidRPr="00F24C98">
        <w:rPr>
          <w:rFonts w:ascii="楷体_GB2312" w:eastAsia="楷体_GB2312" w:hAnsi="宋体" w:hint="eastAsia"/>
          <w:sz w:val="24"/>
        </w:rPr>
        <w:t>国</w:t>
      </w:r>
      <w:r w:rsidR="004E5C7F" w:rsidRPr="00F24C98">
        <w:rPr>
          <w:rFonts w:ascii="楷体_GB2312" w:eastAsia="楷体_GB2312" w:hAnsi="宋体"/>
          <w:sz w:val="24"/>
        </w:rPr>
        <w:t>境内</w:t>
      </w:r>
      <w:r w:rsidR="00D132D6" w:rsidRPr="00F24C98">
        <w:rPr>
          <w:rFonts w:ascii="楷体_GB2312" w:eastAsia="楷体_GB2312" w:hAnsi="宋体" w:hint="eastAsia"/>
          <w:sz w:val="24"/>
        </w:rPr>
        <w:t>自然人</w:t>
      </w:r>
      <w:r w:rsidR="004E5C7F" w:rsidRPr="00F24C98">
        <w:rPr>
          <w:rFonts w:ascii="楷体_GB2312" w:eastAsia="楷体_GB2312" w:hAnsi="宋体" w:hint="eastAsia"/>
          <w:sz w:val="24"/>
        </w:rPr>
        <w:t>（不包括</w:t>
      </w:r>
      <w:r w:rsidR="00280F97" w:rsidRPr="00F24C98">
        <w:rPr>
          <w:rFonts w:ascii="楷体_GB2312" w:eastAsia="楷体_GB2312" w:hAnsi="宋体" w:hint="eastAsia"/>
          <w:sz w:val="24"/>
        </w:rPr>
        <w:t>台港澳籍、</w:t>
      </w:r>
      <w:r w:rsidR="004E5C7F" w:rsidRPr="00F24C98">
        <w:rPr>
          <w:rFonts w:ascii="楷体_GB2312" w:eastAsia="楷体_GB2312" w:hAnsi="宋体" w:hint="eastAsia"/>
          <w:sz w:val="24"/>
        </w:rPr>
        <w:t>外国</w:t>
      </w:r>
      <w:r w:rsidR="00280F97" w:rsidRPr="00F24C98">
        <w:rPr>
          <w:rFonts w:ascii="楷体_GB2312" w:eastAsia="楷体_GB2312" w:hAnsi="宋体" w:hint="eastAsia"/>
          <w:sz w:val="24"/>
        </w:rPr>
        <w:t>（地区）</w:t>
      </w:r>
      <w:r w:rsidR="004E5C7F" w:rsidRPr="00F24C98">
        <w:rPr>
          <w:rFonts w:ascii="楷体_GB2312" w:eastAsia="楷体_GB2312" w:hAnsi="宋体" w:hint="eastAsia"/>
          <w:sz w:val="24"/>
        </w:rPr>
        <w:t>籍自然人）</w:t>
      </w:r>
      <w:r w:rsidR="00A8661B" w:rsidRPr="00F24C98">
        <w:rPr>
          <w:rFonts w:ascii="楷体_GB2312" w:eastAsia="楷体_GB2312" w:hAnsi="宋体" w:hint="eastAsia"/>
          <w:sz w:val="24"/>
        </w:rPr>
        <w:t>。</w:t>
      </w:r>
    </w:p>
    <w:p w:rsidR="005413C7" w:rsidRPr="00F24C98" w:rsidRDefault="00A8661B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投资人不得为</w:t>
      </w:r>
      <w:r w:rsidR="005413C7" w:rsidRPr="00F24C98">
        <w:rPr>
          <w:rFonts w:ascii="楷体_GB2312" w:eastAsia="楷体_GB2312" w:hAnsi="宋体" w:hint="eastAsia"/>
          <w:sz w:val="24"/>
        </w:rPr>
        <w:t>:</w:t>
      </w:r>
      <w:r w:rsidR="00803383" w:rsidRPr="00F24C98">
        <w:rPr>
          <w:rFonts w:ascii="楷体_GB2312" w:eastAsia="楷体_GB2312" w:hAnsi="宋体" w:hint="eastAsia"/>
          <w:sz w:val="24"/>
        </w:rPr>
        <w:t>(1)国家公务员、金融资产管理公司工作人员、该项资产处置工作相关中介机构所属人员，及上述人员出资成立的法人机构或特殊目的实体、参与的非金融机构法人； (2)债务人、担保人为自然人的，其本人和其直系亲属，及上述自然人出资成立的法人机构或特殊目的实体；(3)债务企业的控股股东、实际控制人及其控股下属公司，担保企业及其控股下属公司，债务企业的其他关联企业，及上述主体出资成立的法人机构或特殊目的实体；(</w:t>
      </w:r>
      <w:r w:rsidR="001D4C94" w:rsidRPr="00F24C98">
        <w:rPr>
          <w:rFonts w:ascii="楷体_GB2312" w:eastAsia="楷体_GB2312" w:hAnsi="宋体" w:hint="eastAsia"/>
          <w:sz w:val="24"/>
        </w:rPr>
        <w:t>4</w:t>
      </w:r>
      <w:r w:rsidR="00803383" w:rsidRPr="00F24C98">
        <w:rPr>
          <w:rFonts w:ascii="楷体_GB2312" w:eastAsia="楷体_GB2312" w:hAnsi="宋体" w:hint="eastAsia"/>
          <w:sz w:val="24"/>
        </w:rPr>
        <w:t>)金融监管机构工作人员、政法干警、债务人管理人员</w:t>
      </w:r>
      <w:r w:rsidR="00A10CC3" w:rsidRPr="00F24C98">
        <w:rPr>
          <w:rFonts w:ascii="楷体_GB2312" w:eastAsia="楷体_GB2312" w:hAnsi="宋体" w:hint="eastAsia"/>
          <w:sz w:val="24"/>
        </w:rPr>
        <w:t>，</w:t>
      </w:r>
      <w:r w:rsidR="00803383" w:rsidRPr="00F24C98">
        <w:rPr>
          <w:rFonts w:ascii="楷体_GB2312" w:eastAsia="楷体_GB2312" w:hAnsi="宋体" w:hint="eastAsia"/>
          <w:sz w:val="24"/>
        </w:rPr>
        <w:t>及</w:t>
      </w:r>
      <w:r w:rsidR="00A10CC3" w:rsidRPr="00F24C98">
        <w:rPr>
          <w:rFonts w:ascii="楷体_GB2312" w:eastAsia="楷体_GB2312" w:hAnsi="宋体" w:hint="eastAsia"/>
          <w:sz w:val="24"/>
        </w:rPr>
        <w:t>上述主体参与</w:t>
      </w:r>
      <w:r w:rsidR="00803383" w:rsidRPr="00F24C98">
        <w:rPr>
          <w:rFonts w:ascii="楷体_GB2312" w:eastAsia="楷体_GB2312" w:hAnsi="宋体" w:hint="eastAsia"/>
          <w:sz w:val="24"/>
        </w:rPr>
        <w:t>的非金融机构法人；(</w:t>
      </w:r>
      <w:r w:rsidR="001D4C94" w:rsidRPr="00F24C98">
        <w:rPr>
          <w:rFonts w:ascii="楷体_GB2312" w:eastAsia="楷体_GB2312" w:hAnsi="宋体" w:hint="eastAsia"/>
          <w:sz w:val="24"/>
        </w:rPr>
        <w:t>5</w:t>
      </w:r>
      <w:r w:rsidR="00803383" w:rsidRPr="00F24C98">
        <w:rPr>
          <w:rFonts w:ascii="楷体_GB2312" w:eastAsia="楷体_GB2312" w:hAnsi="宋体" w:hint="eastAsia"/>
          <w:sz w:val="24"/>
        </w:rPr>
        <w:t>)参与不良债权转让的金融资产管理公司工作人员、受托资产评估机构负责人员等的直系亲属；(</w:t>
      </w:r>
      <w:r w:rsidR="001D4C94" w:rsidRPr="00F24C98">
        <w:rPr>
          <w:rFonts w:ascii="楷体_GB2312" w:eastAsia="楷体_GB2312" w:hAnsi="宋体" w:hint="eastAsia"/>
          <w:sz w:val="24"/>
        </w:rPr>
        <w:t>6</w:t>
      </w:r>
      <w:r w:rsidR="00803383" w:rsidRPr="00F24C98">
        <w:rPr>
          <w:rFonts w:ascii="楷体_GB2312" w:eastAsia="楷体_GB2312" w:hAnsi="宋体" w:hint="eastAsia"/>
          <w:sz w:val="24"/>
        </w:rPr>
        <w:t>)国家金融监督管理总局认定的其他</w:t>
      </w:r>
      <w:proofErr w:type="gramStart"/>
      <w:r w:rsidR="00803383" w:rsidRPr="00F24C98">
        <w:rPr>
          <w:rFonts w:ascii="楷体_GB2312" w:eastAsia="楷体_GB2312" w:hAnsi="宋体" w:hint="eastAsia"/>
          <w:sz w:val="24"/>
        </w:rPr>
        <w:t>不宜受</w:t>
      </w:r>
      <w:proofErr w:type="gramEnd"/>
      <w:r w:rsidR="00803383" w:rsidRPr="00F24C98">
        <w:rPr>
          <w:rFonts w:ascii="楷体_GB2312" w:eastAsia="楷体_GB2312" w:hAnsi="宋体" w:hint="eastAsia"/>
          <w:sz w:val="24"/>
        </w:rPr>
        <w:t>让的主体。</w:t>
      </w:r>
    </w:p>
    <w:p w:rsidR="00E76FB6" w:rsidRPr="00F24C98" w:rsidRDefault="00A8661B" w:rsidP="00F24C98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如投资者有意向了解有关</w:t>
      </w:r>
      <w:r w:rsidR="000E6610" w:rsidRPr="00F24C98">
        <w:rPr>
          <w:rFonts w:ascii="楷体_GB2312" w:eastAsia="楷体_GB2312" w:hAnsi="宋体" w:hint="eastAsia"/>
          <w:sz w:val="24"/>
        </w:rPr>
        <w:t>标的资产</w:t>
      </w:r>
      <w:r w:rsidRPr="00F24C98">
        <w:rPr>
          <w:rFonts w:ascii="楷体_GB2312" w:eastAsia="楷体_GB2312" w:hAnsi="宋体" w:hint="eastAsia"/>
          <w:sz w:val="24"/>
        </w:rPr>
        <w:t>的情况</w:t>
      </w:r>
      <w:r w:rsidR="008451D0" w:rsidRPr="00F24C98">
        <w:rPr>
          <w:rFonts w:ascii="楷体_GB2312" w:eastAsia="楷体_GB2312" w:hAnsi="宋体" w:hint="eastAsia"/>
          <w:sz w:val="24"/>
        </w:rPr>
        <w:t>、注册程序、交易时间表等详情，请登陆</w:t>
      </w:r>
      <w:r w:rsidR="00096C89" w:rsidRPr="00F24C98">
        <w:rPr>
          <w:rFonts w:ascii="楷体_GB2312" w:eastAsia="楷体_GB2312" w:hAnsi="宋体" w:hint="eastAsia"/>
          <w:sz w:val="24"/>
        </w:rPr>
        <w:t>中国东方资产管理股份有限公司</w:t>
      </w:r>
      <w:r w:rsidRPr="00F24C98">
        <w:rPr>
          <w:rFonts w:ascii="楷体_GB2312" w:eastAsia="楷体_GB2312" w:hAnsi="宋体" w:hint="eastAsia"/>
          <w:sz w:val="24"/>
        </w:rPr>
        <w:t>网站</w:t>
      </w:r>
      <w:hyperlink r:id="rId8" w:history="1">
        <w:r w:rsidRPr="00F24C98">
          <w:rPr>
            <w:rStyle w:val="a5"/>
            <w:rFonts w:ascii="楷体_GB2312" w:eastAsia="楷体_GB2312" w:hAnsi="宋体" w:hint="eastAsia"/>
            <w:color w:val="auto"/>
            <w:sz w:val="24"/>
            <w:u w:val="none"/>
          </w:rPr>
          <w:t>www.coamc.com.cn</w:t>
        </w:r>
      </w:hyperlink>
      <w:r w:rsidRPr="00F24C98">
        <w:rPr>
          <w:rFonts w:ascii="楷体_GB2312" w:eastAsia="楷体_GB2312" w:hAnsi="宋体" w:hint="eastAsia"/>
          <w:sz w:val="24"/>
        </w:rPr>
        <w:t>。</w:t>
      </w:r>
    </w:p>
    <w:p w:rsidR="00A8661B" w:rsidRPr="00F24C98" w:rsidRDefault="00A8661B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任何对</w:t>
      </w:r>
      <w:r w:rsidR="000E6610" w:rsidRPr="00F24C98">
        <w:rPr>
          <w:rFonts w:ascii="楷体_GB2312" w:eastAsia="楷体_GB2312" w:hAnsi="宋体" w:hint="eastAsia"/>
          <w:sz w:val="24"/>
        </w:rPr>
        <w:t>标的资产</w:t>
      </w:r>
      <w:r w:rsidR="0095661D" w:rsidRPr="00F24C98">
        <w:rPr>
          <w:rFonts w:ascii="楷体_GB2312" w:eastAsia="楷体_GB2312" w:hAnsi="宋体" w:hint="eastAsia"/>
          <w:sz w:val="24"/>
        </w:rPr>
        <w:t>处置</w:t>
      </w:r>
      <w:r w:rsidRPr="00F24C98">
        <w:rPr>
          <w:rFonts w:ascii="楷体_GB2312" w:eastAsia="楷体_GB2312" w:hAnsi="宋体" w:hint="eastAsia"/>
          <w:sz w:val="24"/>
        </w:rPr>
        <w:t>交易持有异议者均可提出意见和/或异议。欢迎社会各界向</w:t>
      </w:r>
      <w:r w:rsidR="00096C89" w:rsidRPr="00F24C98">
        <w:rPr>
          <w:rFonts w:ascii="楷体_GB2312" w:eastAsia="楷体_GB2312" w:hAnsi="宋体" w:hint="eastAsia"/>
          <w:sz w:val="24"/>
        </w:rPr>
        <w:t>东方</w:t>
      </w:r>
      <w:r w:rsidRPr="00F24C98">
        <w:rPr>
          <w:rFonts w:ascii="楷体_GB2312" w:eastAsia="楷体_GB2312" w:hAnsi="宋体" w:hint="eastAsia"/>
          <w:sz w:val="24"/>
        </w:rPr>
        <w:t>提供债务人及担保人的资产线索和其它相关情况。</w:t>
      </w:r>
    </w:p>
    <w:p w:rsidR="00E76FB6" w:rsidRPr="00F24C98" w:rsidRDefault="000E6610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标的资产</w:t>
      </w:r>
      <w:r w:rsidR="0095661D" w:rsidRPr="00F24C98">
        <w:rPr>
          <w:rFonts w:ascii="楷体_GB2312" w:eastAsia="楷体_GB2312" w:hAnsi="宋体" w:hint="eastAsia"/>
          <w:sz w:val="24"/>
        </w:rPr>
        <w:t>处置</w:t>
      </w:r>
      <w:r w:rsidR="00A8661B" w:rsidRPr="00F24C98">
        <w:rPr>
          <w:rFonts w:ascii="楷体_GB2312" w:eastAsia="楷体_GB2312" w:hAnsi="宋体" w:hint="eastAsia"/>
          <w:sz w:val="24"/>
        </w:rPr>
        <w:t>交易的联系人</w:t>
      </w:r>
      <w:r w:rsidR="00C86857" w:rsidRPr="00F24C98">
        <w:rPr>
          <w:rFonts w:ascii="楷体_GB2312" w:eastAsia="楷体_GB2312" w:hAnsi="宋体" w:hint="eastAsia"/>
          <w:sz w:val="24"/>
        </w:rPr>
        <w:t>如下</w:t>
      </w:r>
      <w:r w:rsidR="00A8661B" w:rsidRPr="00F24C98">
        <w:rPr>
          <w:rFonts w:ascii="楷体_GB2312" w:eastAsia="楷体_GB2312" w:hAnsi="宋体" w:hint="eastAsia"/>
          <w:sz w:val="24"/>
        </w:rPr>
        <w:t>：</w:t>
      </w:r>
    </w:p>
    <w:p w:rsidR="0095661D" w:rsidRPr="00F24C98" w:rsidRDefault="0095661D" w:rsidP="00CF3A16">
      <w:pPr>
        <w:tabs>
          <w:tab w:val="left" w:pos="8700"/>
        </w:tabs>
        <w:spacing w:line="360" w:lineRule="exact"/>
        <w:ind w:left="1200"/>
        <w:rPr>
          <w:rFonts w:ascii="楷体_GB2312" w:eastAsia="楷体_GB2312" w:hAnsi="宋体"/>
          <w:sz w:val="24"/>
        </w:rPr>
      </w:pPr>
    </w:p>
    <w:p w:rsidR="00E76FB6" w:rsidRPr="00F24C98" w:rsidRDefault="00096C89" w:rsidP="00F24C98">
      <w:pPr>
        <w:tabs>
          <w:tab w:val="left" w:pos="8700"/>
        </w:tabs>
        <w:spacing w:line="360" w:lineRule="exact"/>
        <w:ind w:firstLineChars="450" w:firstLine="10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东方</w:t>
      </w:r>
      <w:r w:rsidR="00871FA9" w:rsidRPr="00F24C98">
        <w:rPr>
          <w:rFonts w:ascii="楷体_GB2312" w:eastAsia="楷体_GB2312" w:hAnsi="宋体" w:hint="eastAsia"/>
          <w:sz w:val="24"/>
        </w:rPr>
        <w:t>联系人</w:t>
      </w:r>
      <w:r w:rsidR="00E76FB6" w:rsidRPr="00F24C98">
        <w:rPr>
          <w:rFonts w:ascii="楷体_GB2312" w:eastAsia="楷体_GB2312" w:hAnsi="宋体" w:hint="eastAsia"/>
          <w:sz w:val="24"/>
        </w:rPr>
        <w:t>：</w:t>
      </w:r>
      <w:r w:rsidR="00F24C98" w:rsidRPr="00F24C98">
        <w:rPr>
          <w:rFonts w:ascii="楷体_GB2312" w:eastAsia="楷体_GB2312" w:hAnsi="宋体" w:hint="eastAsia"/>
          <w:sz w:val="24"/>
        </w:rPr>
        <w:t>唐女士、童先生</w:t>
      </w:r>
    </w:p>
    <w:p w:rsidR="00A8661B" w:rsidRPr="00F24C98" w:rsidRDefault="00A8661B" w:rsidP="00CF3A16">
      <w:pPr>
        <w:tabs>
          <w:tab w:val="left" w:pos="8700"/>
        </w:tabs>
        <w:spacing w:line="360" w:lineRule="exact"/>
        <w:ind w:left="10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电话</w:t>
      </w:r>
      <w:r w:rsidR="00F85E8B" w:rsidRPr="00F24C98">
        <w:rPr>
          <w:rFonts w:ascii="楷体_GB2312" w:eastAsia="楷体_GB2312" w:hAnsi="宋体" w:hint="eastAsia"/>
          <w:sz w:val="24"/>
        </w:rPr>
        <w:t>：</w:t>
      </w:r>
      <w:r w:rsidR="00F24C98" w:rsidRPr="00F24C98">
        <w:rPr>
          <w:rFonts w:ascii="楷体_GB2312" w:eastAsia="楷体_GB2312" w:hAnsi="宋体" w:hint="eastAsia"/>
          <w:sz w:val="24"/>
        </w:rPr>
        <w:t>028-86403523、028-86403839</w:t>
      </w:r>
    </w:p>
    <w:p w:rsidR="0027159F" w:rsidRPr="00F24C98" w:rsidRDefault="00F24C98" w:rsidP="00CF3A16">
      <w:pPr>
        <w:tabs>
          <w:tab w:val="left" w:pos="8700"/>
        </w:tabs>
        <w:spacing w:line="360" w:lineRule="exact"/>
        <w:ind w:left="10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邮箱</w:t>
      </w:r>
      <w:r w:rsidR="0027159F" w:rsidRPr="00F24C98">
        <w:rPr>
          <w:rFonts w:ascii="楷体_GB2312" w:eastAsia="楷体_GB2312" w:hAnsi="宋体" w:hint="eastAsia"/>
          <w:sz w:val="24"/>
        </w:rPr>
        <w:t>：</w:t>
      </w:r>
      <w:r w:rsidRPr="00F24C98">
        <w:rPr>
          <w:rFonts w:ascii="楷体_GB2312" w:eastAsia="楷体_GB2312" w:hAnsi="宋体" w:hint="eastAsia"/>
          <w:sz w:val="24"/>
        </w:rPr>
        <w:t>tangxue@coamc.com.cn、tonglei@coamc.com.cn</w:t>
      </w:r>
    </w:p>
    <w:p w:rsidR="00C86857" w:rsidRPr="00F24C98" w:rsidRDefault="00A8661B" w:rsidP="00CF3A16">
      <w:pPr>
        <w:tabs>
          <w:tab w:val="left" w:pos="8700"/>
        </w:tabs>
        <w:spacing w:line="360" w:lineRule="exact"/>
        <w:ind w:left="10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地址：</w:t>
      </w:r>
      <w:r w:rsidR="00F24C98" w:rsidRPr="00F24C98">
        <w:rPr>
          <w:rFonts w:ascii="楷体_GB2312" w:eastAsia="楷体_GB2312" w:hAnsi="宋体" w:hint="eastAsia"/>
          <w:sz w:val="24"/>
        </w:rPr>
        <w:t>成都市人民中路二段35号中银大厦30楼</w:t>
      </w:r>
    </w:p>
    <w:p w:rsidR="00A8661B" w:rsidRPr="00F24C98" w:rsidRDefault="00E76FB6" w:rsidP="00E76FB6">
      <w:pPr>
        <w:tabs>
          <w:tab w:val="left" w:pos="8700"/>
        </w:tabs>
        <w:spacing w:line="360" w:lineRule="exact"/>
        <w:ind w:firstLineChars="450" w:firstLine="1080"/>
        <w:rPr>
          <w:rFonts w:eastAsia="楷体_GB2312"/>
          <w:sz w:val="24"/>
        </w:rPr>
      </w:pPr>
      <w:r w:rsidRPr="00F24C98">
        <w:rPr>
          <w:rFonts w:eastAsia="楷体_GB2312"/>
          <w:sz w:val="24"/>
        </w:rPr>
        <w:tab/>
      </w:r>
    </w:p>
    <w:p w:rsidR="00E76FB6" w:rsidRPr="00F24C98" w:rsidRDefault="00E76FB6" w:rsidP="00677292">
      <w:pPr>
        <w:tabs>
          <w:tab w:val="left" w:pos="8700"/>
        </w:tabs>
        <w:spacing w:line="360" w:lineRule="exact"/>
        <w:ind w:left="1080"/>
        <w:rPr>
          <w:rFonts w:ascii="楷体_GB2312" w:eastAsia="楷体_GB2312" w:hAnsi="宋体"/>
          <w:sz w:val="24"/>
        </w:rPr>
      </w:pPr>
    </w:p>
    <w:p w:rsidR="009C7110" w:rsidRPr="00F24C98" w:rsidRDefault="00A8661B" w:rsidP="009C7110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对排斥、阻挠异议或征询的行为可向有关部门举报。</w:t>
      </w:r>
    </w:p>
    <w:p w:rsidR="00F24C98" w:rsidRPr="00F24C98" w:rsidRDefault="00A8661B" w:rsidP="009C7110">
      <w:pPr>
        <w:spacing w:before="240" w:line="360" w:lineRule="exact"/>
        <w:ind w:firstLineChars="200" w:firstLine="480"/>
        <w:rPr>
          <w:rFonts w:eastAsia="楷体_GB2312" w:hint="eastAsia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举报电话：</w:t>
      </w:r>
      <w:r w:rsidR="00B61057" w:rsidRPr="00F24C98">
        <w:rPr>
          <w:rFonts w:ascii="楷体_GB2312" w:eastAsia="楷体_GB2312" w:hAnsi="宋体" w:hint="eastAsia"/>
          <w:sz w:val="24"/>
        </w:rPr>
        <w:t>010-66507226（中国东方资产管理股份有限公司纪委办公室）</w:t>
      </w:r>
    </w:p>
    <w:p w:rsidR="00B061D5" w:rsidRPr="00F24C98" w:rsidRDefault="00F24C98" w:rsidP="00F24C98">
      <w:pPr>
        <w:spacing w:before="240" w:line="360" w:lineRule="exact"/>
        <w:ind w:firstLineChars="700" w:firstLine="1680"/>
        <w:rPr>
          <w:rFonts w:ascii="楷体_GB2312" w:eastAsia="楷体_GB2312" w:hAnsi="宋体"/>
          <w:sz w:val="24"/>
        </w:rPr>
      </w:pPr>
      <w:r w:rsidRPr="00F24C98">
        <w:rPr>
          <w:rFonts w:eastAsia="楷体_GB2312" w:hint="eastAsia"/>
          <w:sz w:val="24"/>
        </w:rPr>
        <w:t>028</w:t>
      </w:r>
      <w:r w:rsidRPr="00F24C98">
        <w:rPr>
          <w:rFonts w:eastAsia="楷体_GB2312" w:hint="eastAsia"/>
          <w:sz w:val="24"/>
        </w:rPr>
        <w:t>－</w:t>
      </w:r>
      <w:r w:rsidRPr="00F24C98">
        <w:rPr>
          <w:rFonts w:eastAsia="楷体_GB2312" w:hint="eastAsia"/>
          <w:sz w:val="24"/>
        </w:rPr>
        <w:t>86403862</w:t>
      </w:r>
      <w:r w:rsidRPr="00F24C98">
        <w:rPr>
          <w:rFonts w:eastAsia="楷体_GB2312" w:hint="eastAsia"/>
          <w:sz w:val="24"/>
        </w:rPr>
        <w:t>（</w:t>
      </w:r>
      <w:r w:rsidR="00B061D5" w:rsidRPr="00F24C98">
        <w:rPr>
          <w:rFonts w:eastAsia="楷体_GB2312"/>
          <w:sz w:val="24"/>
        </w:rPr>
        <w:t>中国东方资产管理</w:t>
      </w:r>
      <w:r w:rsidR="00B061D5" w:rsidRPr="00F24C98">
        <w:rPr>
          <w:rFonts w:eastAsia="楷体_GB2312" w:hint="eastAsia"/>
          <w:sz w:val="24"/>
        </w:rPr>
        <w:t>股份有限</w:t>
      </w:r>
      <w:r w:rsidR="00B061D5" w:rsidRPr="00F24C98">
        <w:rPr>
          <w:rFonts w:eastAsia="楷体_GB2312"/>
          <w:sz w:val="24"/>
        </w:rPr>
        <w:t>公司</w:t>
      </w:r>
      <w:r w:rsidRPr="00F24C98">
        <w:rPr>
          <w:rFonts w:eastAsia="楷体_GB2312" w:hint="eastAsia"/>
          <w:sz w:val="24"/>
        </w:rPr>
        <w:t>四川省</w:t>
      </w:r>
      <w:r w:rsidR="00B061D5" w:rsidRPr="00F24C98">
        <w:rPr>
          <w:rFonts w:eastAsia="楷体_GB2312" w:hint="eastAsia"/>
          <w:sz w:val="24"/>
        </w:rPr>
        <w:t>分公司）</w:t>
      </w:r>
    </w:p>
    <w:p w:rsidR="00A8661B" w:rsidRPr="00F24C98" w:rsidRDefault="00A8661B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监督管理部门：</w:t>
      </w:r>
      <w:r w:rsidR="00F24C98" w:rsidRPr="00F24C98">
        <w:rPr>
          <w:rFonts w:ascii="楷体_GB2312" w:eastAsia="楷体_GB2312" w:hAnsi="宋体" w:hint="eastAsia"/>
          <w:sz w:val="24"/>
        </w:rPr>
        <w:t>财政部驻四川监管局电话：028-86922601</w:t>
      </w:r>
      <w:r w:rsidR="00F24C98" w:rsidRPr="00F24C98">
        <w:rPr>
          <w:rFonts w:ascii="楷体_GB2312" w:eastAsia="楷体_GB2312" w:hAnsi="宋体"/>
          <w:sz w:val="24"/>
        </w:rPr>
        <w:t xml:space="preserve"> </w:t>
      </w:r>
    </w:p>
    <w:p w:rsidR="00A8661B" w:rsidRPr="00F24C98" w:rsidRDefault="00AA5B6D" w:rsidP="00AA5B6D">
      <w:pPr>
        <w:spacing w:line="360" w:lineRule="exact"/>
        <w:ind w:firstLineChars="900" w:firstLine="216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国家金融监督管理总局</w:t>
      </w:r>
      <w:r w:rsidR="00F24C98" w:rsidRPr="00F24C98">
        <w:rPr>
          <w:rFonts w:ascii="楷体_GB2312" w:eastAsia="楷体_GB2312" w:hAnsi="宋体" w:hint="eastAsia"/>
          <w:sz w:val="24"/>
        </w:rPr>
        <w:t>四川</w:t>
      </w:r>
      <w:r w:rsidR="00B61057" w:rsidRPr="00F24C98">
        <w:rPr>
          <w:rFonts w:ascii="楷体_GB2312" w:eastAsia="楷体_GB2312" w:hAnsi="宋体" w:hint="eastAsia"/>
          <w:sz w:val="24"/>
        </w:rPr>
        <w:t>监管局 电话：</w:t>
      </w:r>
      <w:r w:rsidR="00F24C98" w:rsidRPr="00F24C98">
        <w:rPr>
          <w:rFonts w:ascii="楷体_GB2312" w:eastAsia="楷体_GB2312" w:hAnsi="宋体"/>
          <w:sz w:val="24"/>
        </w:rPr>
        <w:t>028-85215772</w:t>
      </w:r>
    </w:p>
    <w:p w:rsidR="00A8661B" w:rsidRPr="00F24C98" w:rsidRDefault="00A8661B" w:rsidP="00A8661B">
      <w:pPr>
        <w:spacing w:before="240"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本公告不构成一项要约。</w:t>
      </w:r>
      <w:r w:rsidR="00F24C98" w:rsidRPr="00F24C98">
        <w:rPr>
          <w:rFonts w:ascii="楷体_GB2312" w:eastAsia="楷体_GB2312" w:hAnsi="宋体" w:hint="eastAsia"/>
          <w:sz w:val="24"/>
        </w:rPr>
        <w:t>本公告的有效期限为自发布之日起20个工作日止。</w:t>
      </w:r>
    </w:p>
    <w:p w:rsidR="005413C7" w:rsidRPr="00F24C98" w:rsidRDefault="00A8661B" w:rsidP="005413C7">
      <w:pPr>
        <w:spacing w:before="240" w:line="360" w:lineRule="exact"/>
        <w:ind w:firstLineChars="200" w:firstLine="480"/>
        <w:jc w:val="left"/>
        <w:rPr>
          <w:rFonts w:ascii="楷体_GB2312" w:eastAsia="楷体_GB2312" w:hAnsi="宋体"/>
          <w:sz w:val="24"/>
        </w:rPr>
      </w:pPr>
      <w:r w:rsidRPr="00F24C98">
        <w:rPr>
          <w:rFonts w:ascii="楷体_GB2312" w:eastAsia="楷体_GB2312" w:hAnsi="宋体" w:hint="eastAsia"/>
          <w:sz w:val="24"/>
        </w:rPr>
        <w:t>特此公告。</w:t>
      </w:r>
    </w:p>
    <w:p w:rsidR="00A8661B" w:rsidRPr="00F24C98" w:rsidRDefault="00096C89" w:rsidP="005413C7">
      <w:pPr>
        <w:spacing w:before="240" w:line="360" w:lineRule="exact"/>
        <w:ind w:firstLineChars="200" w:firstLine="482"/>
        <w:jc w:val="right"/>
        <w:rPr>
          <w:rFonts w:ascii="楷体_GB2312" w:eastAsia="楷体_GB2312" w:hAnsi="宋体"/>
          <w:b/>
          <w:sz w:val="24"/>
        </w:rPr>
      </w:pPr>
      <w:r w:rsidRPr="00F24C98">
        <w:rPr>
          <w:rFonts w:ascii="楷体_GB2312" w:eastAsia="楷体_GB2312" w:hAnsi="宋体" w:hint="eastAsia"/>
          <w:b/>
          <w:sz w:val="24"/>
        </w:rPr>
        <w:t>中国东方资产管理股份有限公司</w:t>
      </w:r>
      <w:r w:rsidR="00F24C98" w:rsidRPr="00F24C98">
        <w:rPr>
          <w:rFonts w:ascii="楷体_GB2312" w:eastAsia="楷体_GB2312" w:hAnsi="宋体" w:hint="eastAsia"/>
          <w:b/>
          <w:sz w:val="24"/>
        </w:rPr>
        <w:t>四川省分公司</w:t>
      </w:r>
    </w:p>
    <w:p w:rsidR="00156568" w:rsidRPr="00F24C98" w:rsidRDefault="00F24C98" w:rsidP="00677292">
      <w:pPr>
        <w:wordWrap w:val="0"/>
        <w:spacing w:before="120" w:line="360" w:lineRule="exact"/>
        <w:ind w:firstLineChars="200" w:firstLine="482"/>
        <w:jc w:val="right"/>
        <w:rPr>
          <w:rFonts w:ascii="楷体_GB2312" w:eastAsia="楷体_GB2312" w:hAnsi="宋体"/>
          <w:b/>
          <w:sz w:val="24"/>
        </w:rPr>
      </w:pPr>
      <w:r w:rsidRPr="00F24C98">
        <w:rPr>
          <w:rFonts w:ascii="楷体_GB2312" w:eastAsia="楷体_GB2312" w:hAnsi="宋体" w:hint="eastAsia"/>
          <w:b/>
          <w:sz w:val="24"/>
        </w:rPr>
        <w:t>2025年2</w:t>
      </w:r>
      <w:r w:rsidR="00677292" w:rsidRPr="00F24C98">
        <w:rPr>
          <w:rFonts w:ascii="楷体_GB2312" w:eastAsia="楷体_GB2312" w:hAnsi="宋体" w:hint="eastAsia"/>
          <w:b/>
          <w:sz w:val="24"/>
        </w:rPr>
        <w:t>月</w:t>
      </w:r>
      <w:r w:rsidRPr="00F24C98">
        <w:rPr>
          <w:rFonts w:ascii="楷体_GB2312" w:eastAsia="楷体_GB2312" w:hAnsi="宋体" w:hint="eastAsia"/>
          <w:b/>
          <w:sz w:val="24"/>
        </w:rPr>
        <w:t xml:space="preserve">   </w:t>
      </w:r>
      <w:r w:rsidR="00677292" w:rsidRPr="00F24C98">
        <w:rPr>
          <w:rFonts w:ascii="楷体_GB2312" w:eastAsia="楷体_GB2312" w:hAnsi="宋体" w:hint="eastAsia"/>
          <w:b/>
          <w:sz w:val="24"/>
        </w:rPr>
        <w:t>日</w:t>
      </w:r>
    </w:p>
    <w:p w:rsidR="00072D3C" w:rsidRPr="00F24C98" w:rsidRDefault="00072D3C" w:rsidP="00072D3C">
      <w:pPr>
        <w:spacing w:before="120" w:line="360" w:lineRule="exact"/>
        <w:ind w:firstLineChars="200" w:firstLine="482"/>
        <w:jc w:val="right"/>
        <w:rPr>
          <w:rFonts w:ascii="楷体_GB2312" w:eastAsia="楷体_GB2312" w:hAnsi="宋体"/>
          <w:b/>
          <w:sz w:val="24"/>
        </w:rPr>
      </w:pPr>
    </w:p>
    <w:p w:rsidR="00072D3C" w:rsidRPr="00F24C98" w:rsidRDefault="00072D3C" w:rsidP="00072D3C">
      <w:pPr>
        <w:spacing w:before="120" w:line="360" w:lineRule="exact"/>
        <w:ind w:firstLineChars="200" w:firstLine="482"/>
        <w:jc w:val="right"/>
        <w:rPr>
          <w:rFonts w:ascii="楷体_GB2312" w:eastAsia="楷体_GB2312" w:hAnsi="宋体"/>
          <w:b/>
          <w:sz w:val="24"/>
        </w:rPr>
      </w:pPr>
    </w:p>
    <w:p w:rsidR="00941622" w:rsidRPr="00F24C98" w:rsidRDefault="00941622">
      <w:pPr>
        <w:widowControl/>
        <w:jc w:val="left"/>
        <w:rPr>
          <w:rFonts w:ascii="楷体_GB2312" w:eastAsia="楷体_GB2312" w:hAnsi="宋体"/>
          <w:b/>
          <w:sz w:val="24"/>
        </w:rPr>
      </w:pPr>
      <w:bookmarkStart w:id="0" w:name="_Toc467844824"/>
      <w:bookmarkStart w:id="1" w:name="_Toc479296824"/>
      <w:bookmarkStart w:id="2" w:name="_Toc492025749"/>
      <w:bookmarkStart w:id="3" w:name="_Toc495597280"/>
      <w:bookmarkStart w:id="4" w:name="_Toc495656879"/>
      <w:r w:rsidRPr="00F24C98">
        <w:rPr>
          <w:rFonts w:ascii="楷体_GB2312" w:eastAsia="楷体_GB2312" w:hAnsi="宋体"/>
          <w:b/>
          <w:sz w:val="24"/>
        </w:rPr>
        <w:br w:type="page"/>
      </w:r>
    </w:p>
    <w:p w:rsidR="00072D3C" w:rsidRPr="00F24C98" w:rsidRDefault="00072D3C" w:rsidP="00072D3C">
      <w:pPr>
        <w:autoSpaceDE w:val="0"/>
        <w:autoSpaceDN w:val="0"/>
        <w:adjustRightInd w:val="0"/>
        <w:spacing w:afterLines="100" w:after="312" w:line="300" w:lineRule="auto"/>
        <w:outlineLvl w:val="0"/>
        <w:rPr>
          <w:rFonts w:ascii="楷体_GB2312" w:eastAsia="楷体_GB2312" w:hAnsi="宋体"/>
          <w:b/>
          <w:sz w:val="24"/>
        </w:rPr>
      </w:pPr>
      <w:r w:rsidRPr="00F24C98">
        <w:rPr>
          <w:rFonts w:ascii="楷体_GB2312" w:eastAsia="楷体_GB2312" w:hAnsi="宋体"/>
          <w:b/>
          <w:sz w:val="24"/>
        </w:rPr>
        <w:lastRenderedPageBreak/>
        <w:t xml:space="preserve">附件   </w:t>
      </w:r>
      <w:bookmarkEnd w:id="0"/>
      <w:bookmarkEnd w:id="1"/>
      <w:bookmarkEnd w:id="2"/>
      <w:bookmarkEnd w:id="3"/>
      <w:bookmarkEnd w:id="4"/>
      <w:r w:rsidR="005552EC" w:rsidRPr="00F24C98">
        <w:rPr>
          <w:rFonts w:ascii="楷体_GB2312" w:eastAsia="楷体_GB2312" w:hAnsi="宋体" w:hint="eastAsia"/>
          <w:b/>
          <w:sz w:val="24"/>
        </w:rPr>
        <w:t>标的资产</w:t>
      </w:r>
      <w:r w:rsidRPr="00F24C98">
        <w:rPr>
          <w:rFonts w:ascii="楷体_GB2312" w:eastAsia="楷体_GB2312" w:hAnsi="宋体"/>
          <w:b/>
          <w:sz w:val="24"/>
        </w:rPr>
        <w:t>清单</w:t>
      </w:r>
    </w:p>
    <w:p w:rsidR="00072D3C" w:rsidRPr="00F24C98" w:rsidRDefault="005552EC" w:rsidP="00072D3C">
      <w:pPr>
        <w:spacing w:afterLines="100" w:after="312" w:line="300" w:lineRule="auto"/>
        <w:jc w:val="center"/>
        <w:rPr>
          <w:rFonts w:ascii="楷体_GB2312" w:eastAsia="楷体_GB2312" w:hAnsi="宋体"/>
          <w:b/>
          <w:sz w:val="24"/>
        </w:rPr>
      </w:pPr>
      <w:r w:rsidRPr="00F24C98">
        <w:rPr>
          <w:rFonts w:ascii="楷体_GB2312" w:eastAsia="楷体_GB2312" w:hAnsi="宋体" w:hint="eastAsia"/>
          <w:b/>
          <w:sz w:val="24"/>
        </w:rPr>
        <w:t>标的资产</w:t>
      </w:r>
      <w:r w:rsidR="00072D3C" w:rsidRPr="00F24C98">
        <w:rPr>
          <w:rFonts w:ascii="楷体_GB2312" w:eastAsia="楷体_GB2312" w:hAnsi="宋体" w:hint="eastAsia"/>
          <w:b/>
          <w:sz w:val="24"/>
        </w:rPr>
        <w:t>清单</w:t>
      </w:r>
    </w:p>
    <w:p w:rsidR="00072D3C" w:rsidRPr="00F24C98" w:rsidRDefault="00072D3C" w:rsidP="00072D3C">
      <w:pPr>
        <w:spacing w:afterLines="100" w:after="312" w:line="300" w:lineRule="auto"/>
        <w:ind w:firstLineChars="2350" w:firstLine="5405"/>
        <w:jc w:val="right"/>
        <w:rPr>
          <w:rFonts w:ascii="楷体" w:eastAsia="楷体" w:hAnsi="楷体"/>
          <w:sz w:val="23"/>
          <w:szCs w:val="28"/>
        </w:rPr>
      </w:pPr>
      <w:r w:rsidRPr="00F24C98">
        <w:rPr>
          <w:rFonts w:ascii="楷体" w:eastAsia="楷体" w:hAnsi="楷体" w:hint="eastAsia"/>
          <w:sz w:val="23"/>
          <w:szCs w:val="28"/>
        </w:rPr>
        <w:t>单位：人民币  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1070"/>
        <w:gridCol w:w="1445"/>
        <w:gridCol w:w="1338"/>
        <w:gridCol w:w="1072"/>
        <w:gridCol w:w="433"/>
        <w:gridCol w:w="433"/>
        <w:gridCol w:w="3487"/>
      </w:tblGrid>
      <w:tr w:rsidR="00F24C98" w:rsidRPr="00F24C98" w:rsidTr="00F24C98">
        <w:trPr>
          <w:trHeight w:val="6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客户名称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本金余额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利息（</w:t>
            </w:r>
            <w:proofErr w:type="gramStart"/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含罚息</w:t>
            </w:r>
            <w:proofErr w:type="gramEnd"/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、复利）余额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代垫费用（款项）余额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五级分类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担保方式</w:t>
            </w: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b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b/>
                <w:sz w:val="18"/>
                <w:szCs w:val="18"/>
              </w:rPr>
              <w:t>抵质押物描述</w:t>
            </w:r>
          </w:p>
        </w:tc>
      </w:tr>
      <w:tr w:rsidR="00F24C98" w:rsidRPr="00F24C98" w:rsidTr="00F24C98">
        <w:trPr>
          <w:trHeight w:val="109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成都豆荚文化传播有限公司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7,749,996.61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90,478.56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抵押物1为位于锦江区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通盈街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88号1栋1单元24层2401号的住宅，面积205平方米；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br/>
              <w:t>抵押物2为位于锦江区驿都西路316号1栋28层6号的写字楼，面积264.47平方米。</w:t>
            </w:r>
          </w:p>
        </w:tc>
      </w:tr>
      <w:tr w:rsidR="00F24C98" w:rsidRPr="00F24C98" w:rsidTr="00F24C98">
        <w:trPr>
          <w:trHeight w:val="15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成都道泽商贸有限公司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4,959,999.00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191,708.79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800.00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抵押物1为位于成华区双成三路16号3栋1单元31层3103号住宅，面积84.48平方米；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br/>
              <w:t>抵押物2为新都区新都镇学府路1555号3栋1单元22层2号住宅，面积132.06平方米；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br/>
              <w:t>抵押物3为新都镇清源路66号13栋2单元6层10号住宅，面积214.81平方米。</w:t>
            </w:r>
          </w:p>
        </w:tc>
      </w:tr>
      <w:tr w:rsidR="00F24C98" w:rsidRPr="00F24C98" w:rsidTr="00F24C98">
        <w:trPr>
          <w:trHeight w:val="67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成都四方信息技术有限公司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3,989,728.30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272,373.63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1,000.00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抵押物为住宅5套，位置位于成华区布坝子街9号4栋2单元204、306、408、510、612号。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冕宁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弘涛文化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娱乐发展有限责任公司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3,249,979.34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299,129.87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抵押物为位于四川省凉山彝族自治州冕宁县城厢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镇香厂巷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的商住楼一栋，抵押物面积1,199.67平方米。</w:t>
            </w:r>
          </w:p>
        </w:tc>
      </w:tr>
      <w:tr w:rsidR="00F24C98" w:rsidRPr="00F24C98" w:rsidTr="00F24C98">
        <w:trPr>
          <w:trHeight w:val="112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成都锦晟天科建材有限公司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3,229,545.99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81,840.90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抵押物1：位于锦江区汇源北路333号4栋1单元38层3805号的住宅，面积80.48平方米；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br/>
              <w:t>抵押物2：位于锦江区月季街268号2栋11层24号写字楼，面积77.16平方米。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四川爱丽丝科技有限公司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1,456,000.00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76,082.51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400.00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抵押物为位于高新区（西区）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西芯大道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1号16栋3单元4层401号住宅，抵押物面积108.11平方米。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成都欣泰伟业商贸有限责任公司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1,620,000.00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276,576.37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400.00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位于锦江区翠柳湾支路199号4栋3单元31层3104号住宅，面积99.81平方米。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四川惠泽建筑工程有限公司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1,610,000.00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41,346.74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1,200.00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次级/可疑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抵押物为位于龙泉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驿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区同安街道办事处阳光大道103号1栋4单元1层1号住宅，面积191.84平方米。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成都爱鹿尔信息科技有限公司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1,120,000.00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81,857.09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12,607.00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抵押物为位于成都市天府新区华阳街道南湖西路18号10栋1单元34层3403号的住宅，面积83.05平方米。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成都市铭祥源建筑装饰工程有限公司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960,000.00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32,057.82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400.00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抵押物为位于温江区公平镇江平路1111号1栋1单元5层1号住宅，面积147.37平方米。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成都厦威夷酒店管理有限公司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6,980,000.00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260,028.90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1,200.00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次级/可疑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系位于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高新区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锦尚西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二路89号8栋3单元6楼602号的住宅，面积182.85平方米。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四川伟信国际贸易有限公司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3,670,000.00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138,734.85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1,200.00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次级/可疑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抵押物为成华区双成三路16号4栋1单元19层1904号住宅，面积</w:t>
            </w:r>
            <w:r w:rsidRPr="00F24C98">
              <w:rPr>
                <w:rFonts w:ascii="楷体" w:eastAsia="楷体" w:hAnsi="楷体"/>
                <w:sz w:val="18"/>
                <w:szCs w:val="18"/>
              </w:rPr>
              <w:t>145.16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t>平方米。</w:t>
            </w:r>
          </w:p>
        </w:tc>
      </w:tr>
      <w:tr w:rsidR="00F24C98" w:rsidRPr="00F24C98" w:rsidTr="00F24C98">
        <w:trPr>
          <w:trHeight w:val="4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四川锦住酒店管理有限责任公司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2,880,000.00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74,291.31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次级/可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抵押+保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抵押物位于成都市锦江区柳河路139号1栋2单元25楼2502号住宅，面积147.15平方米。</w:t>
            </w:r>
          </w:p>
        </w:tc>
      </w:tr>
      <w:tr w:rsidR="00F24C98" w:rsidRPr="00F24C98" w:rsidTr="00F24C98">
        <w:trPr>
          <w:trHeight w:val="135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四川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晟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翔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晟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智能科技有限公司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9,790,000.00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223,352.10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次级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抵押+保证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抵押物1：位于成都市天府新区万安镇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麓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山大道二段19号附5号10栋1单元18层1802号的住宅，面积</w:t>
            </w:r>
            <w:r w:rsidRPr="00F24C98">
              <w:rPr>
                <w:rFonts w:ascii="楷体" w:eastAsia="楷体" w:hAnsi="楷体"/>
                <w:sz w:val="18"/>
                <w:szCs w:val="18"/>
              </w:rPr>
              <w:t>531.38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t>平方米；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br/>
              <w:t>抵押物2：位于高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新区科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园二路10号3栋2单元4层1号工业用房顺位抵押，面积</w:t>
            </w:r>
            <w:r w:rsidRPr="00F24C98">
              <w:rPr>
                <w:rFonts w:ascii="楷体" w:eastAsia="楷体" w:hAnsi="楷体"/>
                <w:sz w:val="18"/>
                <w:szCs w:val="18"/>
              </w:rPr>
              <w:t>359.94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t>平方米；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br/>
              <w:t>抵押物3：位于高</w:t>
            </w:r>
            <w:proofErr w:type="gramStart"/>
            <w:r w:rsidRPr="00F24C98">
              <w:rPr>
                <w:rFonts w:ascii="楷体" w:eastAsia="楷体" w:hAnsi="楷体" w:hint="eastAsia"/>
                <w:sz w:val="18"/>
                <w:szCs w:val="18"/>
              </w:rPr>
              <w:t>新区科</w:t>
            </w:r>
            <w:proofErr w:type="gramEnd"/>
            <w:r w:rsidRPr="00F24C98">
              <w:rPr>
                <w:rFonts w:ascii="楷体" w:eastAsia="楷体" w:hAnsi="楷体" w:hint="eastAsia"/>
                <w:sz w:val="18"/>
                <w:szCs w:val="18"/>
              </w:rPr>
              <w:t>园南路88号2栋2楼206号工业用房顺位抵押，面积3</w:t>
            </w:r>
            <w:r w:rsidRPr="00F24C98">
              <w:rPr>
                <w:rFonts w:ascii="楷体" w:eastAsia="楷体" w:hAnsi="楷体"/>
                <w:sz w:val="18"/>
                <w:szCs w:val="18"/>
              </w:rPr>
              <w:t>35.80</w:t>
            </w:r>
            <w:r w:rsidRPr="00F24C98">
              <w:rPr>
                <w:rFonts w:ascii="楷体" w:eastAsia="楷体" w:hAnsi="楷体" w:hint="eastAsia"/>
                <w:sz w:val="18"/>
                <w:szCs w:val="18"/>
              </w:rPr>
              <w:t>平方米。</w:t>
            </w:r>
          </w:p>
        </w:tc>
      </w:tr>
      <w:tr w:rsidR="00F24C98" w:rsidRPr="00140CE7" w:rsidTr="00F24C98">
        <w:trPr>
          <w:trHeight w:val="13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 w:hint="eastAsia"/>
                <w:sz w:val="18"/>
                <w:szCs w:val="18"/>
              </w:rPr>
              <w:t>合计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/>
                <w:sz w:val="18"/>
                <w:szCs w:val="18"/>
              </w:rPr>
              <w:t>53,265,249.24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/>
                <w:sz w:val="18"/>
                <w:szCs w:val="18"/>
              </w:rPr>
              <w:t>2,139,859.44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  <w:r w:rsidRPr="00F24C98">
              <w:rPr>
                <w:rFonts w:ascii="楷体" w:eastAsia="楷体" w:hAnsi="楷体"/>
                <w:sz w:val="18"/>
                <w:szCs w:val="18"/>
              </w:rPr>
              <w:t>19,207.00</w:t>
            </w:r>
            <w:bookmarkStart w:id="5" w:name="_GoBack"/>
            <w:bookmarkEnd w:id="5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98" w:rsidRPr="00F24C98" w:rsidRDefault="00F24C98" w:rsidP="00F24C98">
            <w:pPr>
              <w:adjustRightInd w:val="0"/>
              <w:snapToGrid w:val="0"/>
              <w:spacing w:afterLines="100" w:after="312" w:line="300" w:lineRule="auto"/>
              <w:jc w:val="center"/>
              <w:outlineLvl w:val="0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:rsidR="00072D3C" w:rsidRPr="00F05699" w:rsidRDefault="00072D3C" w:rsidP="00072D3C">
      <w:pPr>
        <w:spacing w:before="120" w:line="360" w:lineRule="exact"/>
        <w:ind w:firstLineChars="200" w:firstLine="422"/>
        <w:jc w:val="left"/>
        <w:rPr>
          <w:b/>
        </w:rPr>
      </w:pPr>
    </w:p>
    <w:sectPr w:rsidR="00072D3C" w:rsidRPr="00F05699" w:rsidSect="00514B48">
      <w:footerReference w:type="even" r:id="rId9"/>
      <w:footerReference w:type="default" r:id="rId10"/>
      <w:pgSz w:w="11906" w:h="16838" w:code="9"/>
      <w:pgMar w:top="1304" w:right="1106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0B" w:rsidRDefault="003C3F0B">
      <w:r>
        <w:separator/>
      </w:r>
    </w:p>
  </w:endnote>
  <w:endnote w:type="continuationSeparator" w:id="0">
    <w:p w:rsidR="003C3F0B" w:rsidRDefault="003C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A3" w:rsidRDefault="005C7FA3" w:rsidP="007C0A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FA3" w:rsidRDefault="005C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A3" w:rsidRDefault="005C7FA3" w:rsidP="007C0A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4C98">
      <w:rPr>
        <w:rStyle w:val="a4"/>
        <w:noProof/>
      </w:rPr>
      <w:t>1</w:t>
    </w:r>
    <w:r>
      <w:rPr>
        <w:rStyle w:val="a4"/>
      </w:rPr>
      <w:fldChar w:fldCharType="end"/>
    </w:r>
  </w:p>
  <w:p w:rsidR="005C7FA3" w:rsidRDefault="005C7F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0B" w:rsidRDefault="003C3F0B">
      <w:r>
        <w:separator/>
      </w:r>
    </w:p>
  </w:footnote>
  <w:footnote w:type="continuationSeparator" w:id="0">
    <w:p w:rsidR="003C3F0B" w:rsidRDefault="003C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488C"/>
    <w:multiLevelType w:val="hybridMultilevel"/>
    <w:tmpl w:val="81120788"/>
    <w:lvl w:ilvl="0" w:tplc="DF0ED81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3137ECA"/>
    <w:multiLevelType w:val="hybridMultilevel"/>
    <w:tmpl w:val="D7D23AC4"/>
    <w:lvl w:ilvl="0" w:tplc="1C72B022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1B"/>
    <w:rsid w:val="00010B37"/>
    <w:rsid w:val="000153E8"/>
    <w:rsid w:val="00016557"/>
    <w:rsid w:val="000450ED"/>
    <w:rsid w:val="000467CC"/>
    <w:rsid w:val="00060CF7"/>
    <w:rsid w:val="00067FC3"/>
    <w:rsid w:val="00070728"/>
    <w:rsid w:val="00072D3C"/>
    <w:rsid w:val="00091BC7"/>
    <w:rsid w:val="00096C89"/>
    <w:rsid w:val="000B3CF5"/>
    <w:rsid w:val="000B7546"/>
    <w:rsid w:val="000C2277"/>
    <w:rsid w:val="000D07FD"/>
    <w:rsid w:val="000D1378"/>
    <w:rsid w:val="000D15D3"/>
    <w:rsid w:val="000E6610"/>
    <w:rsid w:val="000F0863"/>
    <w:rsid w:val="0010163E"/>
    <w:rsid w:val="00106932"/>
    <w:rsid w:val="00111052"/>
    <w:rsid w:val="00150FC0"/>
    <w:rsid w:val="00156568"/>
    <w:rsid w:val="00177901"/>
    <w:rsid w:val="00183D87"/>
    <w:rsid w:val="0019321E"/>
    <w:rsid w:val="001A2CD5"/>
    <w:rsid w:val="001B399D"/>
    <w:rsid w:val="001C3A56"/>
    <w:rsid w:val="001D4C94"/>
    <w:rsid w:val="001F6B3B"/>
    <w:rsid w:val="002020EA"/>
    <w:rsid w:val="00204DC2"/>
    <w:rsid w:val="00205036"/>
    <w:rsid w:val="0020706E"/>
    <w:rsid w:val="00211A9A"/>
    <w:rsid w:val="00232435"/>
    <w:rsid w:val="00237822"/>
    <w:rsid w:val="00241956"/>
    <w:rsid w:val="00244D9F"/>
    <w:rsid w:val="00256C8A"/>
    <w:rsid w:val="0027159F"/>
    <w:rsid w:val="00280F97"/>
    <w:rsid w:val="00293B64"/>
    <w:rsid w:val="0029635F"/>
    <w:rsid w:val="002A361A"/>
    <w:rsid w:val="002A6A40"/>
    <w:rsid w:val="002B32DD"/>
    <w:rsid w:val="002C1387"/>
    <w:rsid w:val="002C23A0"/>
    <w:rsid w:val="002C754E"/>
    <w:rsid w:val="002D3048"/>
    <w:rsid w:val="002E3AEA"/>
    <w:rsid w:val="002F19A2"/>
    <w:rsid w:val="00313A2C"/>
    <w:rsid w:val="0031446B"/>
    <w:rsid w:val="00342BCF"/>
    <w:rsid w:val="00360DF1"/>
    <w:rsid w:val="003922DC"/>
    <w:rsid w:val="00395B58"/>
    <w:rsid w:val="003B03B3"/>
    <w:rsid w:val="003B070B"/>
    <w:rsid w:val="003B5226"/>
    <w:rsid w:val="003B6450"/>
    <w:rsid w:val="003C0742"/>
    <w:rsid w:val="003C3F0B"/>
    <w:rsid w:val="003D6488"/>
    <w:rsid w:val="003E13C5"/>
    <w:rsid w:val="00416EAC"/>
    <w:rsid w:val="00417476"/>
    <w:rsid w:val="00433ECB"/>
    <w:rsid w:val="00457A9A"/>
    <w:rsid w:val="00457FD3"/>
    <w:rsid w:val="00480D1E"/>
    <w:rsid w:val="004B61E7"/>
    <w:rsid w:val="004D38CE"/>
    <w:rsid w:val="004D7EB1"/>
    <w:rsid w:val="004E5C7F"/>
    <w:rsid w:val="004F3541"/>
    <w:rsid w:val="004F693F"/>
    <w:rsid w:val="00501137"/>
    <w:rsid w:val="00501C02"/>
    <w:rsid w:val="00503B25"/>
    <w:rsid w:val="00514B48"/>
    <w:rsid w:val="00531683"/>
    <w:rsid w:val="00532DB0"/>
    <w:rsid w:val="00540361"/>
    <w:rsid w:val="005413C7"/>
    <w:rsid w:val="00554E84"/>
    <w:rsid w:val="005552EC"/>
    <w:rsid w:val="00556BA1"/>
    <w:rsid w:val="005630D3"/>
    <w:rsid w:val="005A7E26"/>
    <w:rsid w:val="005B4E01"/>
    <w:rsid w:val="005C250F"/>
    <w:rsid w:val="005C7FA3"/>
    <w:rsid w:val="005E04D0"/>
    <w:rsid w:val="005F082E"/>
    <w:rsid w:val="006200A2"/>
    <w:rsid w:val="006205AD"/>
    <w:rsid w:val="006326CD"/>
    <w:rsid w:val="00637205"/>
    <w:rsid w:val="00651DBD"/>
    <w:rsid w:val="00652456"/>
    <w:rsid w:val="006607C4"/>
    <w:rsid w:val="00662E23"/>
    <w:rsid w:val="0067160C"/>
    <w:rsid w:val="00677292"/>
    <w:rsid w:val="00681208"/>
    <w:rsid w:val="006A2F6E"/>
    <w:rsid w:val="006A5A4E"/>
    <w:rsid w:val="006A6B6C"/>
    <w:rsid w:val="006B5875"/>
    <w:rsid w:val="006B770B"/>
    <w:rsid w:val="006D5FF9"/>
    <w:rsid w:val="006E5526"/>
    <w:rsid w:val="006E5CED"/>
    <w:rsid w:val="00712CA5"/>
    <w:rsid w:val="00731DBB"/>
    <w:rsid w:val="00740AB6"/>
    <w:rsid w:val="00741183"/>
    <w:rsid w:val="00742FA4"/>
    <w:rsid w:val="00744066"/>
    <w:rsid w:val="00763005"/>
    <w:rsid w:val="00770F8C"/>
    <w:rsid w:val="007716EC"/>
    <w:rsid w:val="007924A9"/>
    <w:rsid w:val="00795E08"/>
    <w:rsid w:val="007B483F"/>
    <w:rsid w:val="007B665F"/>
    <w:rsid w:val="007C0A39"/>
    <w:rsid w:val="007C49BD"/>
    <w:rsid w:val="007E027E"/>
    <w:rsid w:val="007E33B5"/>
    <w:rsid w:val="007E7FD1"/>
    <w:rsid w:val="00801244"/>
    <w:rsid w:val="00803383"/>
    <w:rsid w:val="00806369"/>
    <w:rsid w:val="00825181"/>
    <w:rsid w:val="00834538"/>
    <w:rsid w:val="00843954"/>
    <w:rsid w:val="008451D0"/>
    <w:rsid w:val="00852246"/>
    <w:rsid w:val="008612F7"/>
    <w:rsid w:val="00861B3B"/>
    <w:rsid w:val="00861D54"/>
    <w:rsid w:val="00871FA9"/>
    <w:rsid w:val="00881774"/>
    <w:rsid w:val="00897103"/>
    <w:rsid w:val="00897492"/>
    <w:rsid w:val="008A3A09"/>
    <w:rsid w:val="008E0CE9"/>
    <w:rsid w:val="008E2833"/>
    <w:rsid w:val="008F084F"/>
    <w:rsid w:val="008F7DF9"/>
    <w:rsid w:val="00904244"/>
    <w:rsid w:val="00917012"/>
    <w:rsid w:val="00920E7F"/>
    <w:rsid w:val="00931685"/>
    <w:rsid w:val="00933C19"/>
    <w:rsid w:val="0094039D"/>
    <w:rsid w:val="00941622"/>
    <w:rsid w:val="00941A76"/>
    <w:rsid w:val="00944A9B"/>
    <w:rsid w:val="00946B7D"/>
    <w:rsid w:val="0095661D"/>
    <w:rsid w:val="0096539C"/>
    <w:rsid w:val="00967E7A"/>
    <w:rsid w:val="0099634E"/>
    <w:rsid w:val="009A0B5F"/>
    <w:rsid w:val="009C5CEE"/>
    <w:rsid w:val="009C7110"/>
    <w:rsid w:val="009D282A"/>
    <w:rsid w:val="009D7C26"/>
    <w:rsid w:val="009F2DE6"/>
    <w:rsid w:val="00A10CC3"/>
    <w:rsid w:val="00A25C9E"/>
    <w:rsid w:val="00A27086"/>
    <w:rsid w:val="00A345EF"/>
    <w:rsid w:val="00A41D6E"/>
    <w:rsid w:val="00A43404"/>
    <w:rsid w:val="00A50B5F"/>
    <w:rsid w:val="00A55C69"/>
    <w:rsid w:val="00A63B12"/>
    <w:rsid w:val="00A73254"/>
    <w:rsid w:val="00A761C9"/>
    <w:rsid w:val="00A76362"/>
    <w:rsid w:val="00A80F6F"/>
    <w:rsid w:val="00A8661B"/>
    <w:rsid w:val="00A91A20"/>
    <w:rsid w:val="00A95DE7"/>
    <w:rsid w:val="00AA5B6D"/>
    <w:rsid w:val="00AC2E70"/>
    <w:rsid w:val="00AD7429"/>
    <w:rsid w:val="00AF039F"/>
    <w:rsid w:val="00AF2EC5"/>
    <w:rsid w:val="00B04D50"/>
    <w:rsid w:val="00B061D5"/>
    <w:rsid w:val="00B14157"/>
    <w:rsid w:val="00B2634C"/>
    <w:rsid w:val="00B4231B"/>
    <w:rsid w:val="00B61057"/>
    <w:rsid w:val="00B706DC"/>
    <w:rsid w:val="00B77869"/>
    <w:rsid w:val="00B86436"/>
    <w:rsid w:val="00B91142"/>
    <w:rsid w:val="00BA1B14"/>
    <w:rsid w:val="00BB2954"/>
    <w:rsid w:val="00BD06F7"/>
    <w:rsid w:val="00BD5100"/>
    <w:rsid w:val="00BE2C22"/>
    <w:rsid w:val="00BE39A2"/>
    <w:rsid w:val="00BE51F4"/>
    <w:rsid w:val="00BF5258"/>
    <w:rsid w:val="00C06805"/>
    <w:rsid w:val="00C26EE8"/>
    <w:rsid w:val="00C3077B"/>
    <w:rsid w:val="00C36A3F"/>
    <w:rsid w:val="00C419C5"/>
    <w:rsid w:val="00C43910"/>
    <w:rsid w:val="00C53262"/>
    <w:rsid w:val="00C66F1B"/>
    <w:rsid w:val="00C84798"/>
    <w:rsid w:val="00C85B9F"/>
    <w:rsid w:val="00C86857"/>
    <w:rsid w:val="00C914FB"/>
    <w:rsid w:val="00CA02B7"/>
    <w:rsid w:val="00CA4C29"/>
    <w:rsid w:val="00CB7AE9"/>
    <w:rsid w:val="00CF3A16"/>
    <w:rsid w:val="00CF4EAE"/>
    <w:rsid w:val="00D00650"/>
    <w:rsid w:val="00D132D6"/>
    <w:rsid w:val="00D27E67"/>
    <w:rsid w:val="00D65990"/>
    <w:rsid w:val="00D84352"/>
    <w:rsid w:val="00D914F6"/>
    <w:rsid w:val="00DB36F5"/>
    <w:rsid w:val="00DD1342"/>
    <w:rsid w:val="00DE25E9"/>
    <w:rsid w:val="00DF02F5"/>
    <w:rsid w:val="00E11AA2"/>
    <w:rsid w:val="00E218D8"/>
    <w:rsid w:val="00E44001"/>
    <w:rsid w:val="00E54AB4"/>
    <w:rsid w:val="00E76FB6"/>
    <w:rsid w:val="00E860D3"/>
    <w:rsid w:val="00EA6BCE"/>
    <w:rsid w:val="00EB3849"/>
    <w:rsid w:val="00EC48F8"/>
    <w:rsid w:val="00EC49E6"/>
    <w:rsid w:val="00EE4803"/>
    <w:rsid w:val="00F01EBE"/>
    <w:rsid w:val="00F05699"/>
    <w:rsid w:val="00F24C98"/>
    <w:rsid w:val="00F425BB"/>
    <w:rsid w:val="00F52765"/>
    <w:rsid w:val="00F56065"/>
    <w:rsid w:val="00F63A45"/>
    <w:rsid w:val="00F661B3"/>
    <w:rsid w:val="00F66F6E"/>
    <w:rsid w:val="00F80316"/>
    <w:rsid w:val="00F827C8"/>
    <w:rsid w:val="00F85E8B"/>
    <w:rsid w:val="00F86872"/>
    <w:rsid w:val="00F874F6"/>
    <w:rsid w:val="00F9345E"/>
    <w:rsid w:val="00F96E96"/>
    <w:rsid w:val="00FB2344"/>
    <w:rsid w:val="00FD3008"/>
    <w:rsid w:val="00FE5B9D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8661B"/>
  </w:style>
  <w:style w:type="character" w:styleId="a5">
    <w:name w:val="Hyperlink"/>
    <w:rsid w:val="00A8661B"/>
    <w:rPr>
      <w:color w:val="0000FF"/>
      <w:u w:val="single"/>
    </w:rPr>
  </w:style>
  <w:style w:type="paragraph" w:customStyle="1" w:styleId="CharCharCharChar">
    <w:name w:val="Char Char Char Char"/>
    <w:basedOn w:val="a"/>
    <w:rsid w:val="00A95DE7"/>
    <w:rPr>
      <w:kern w:val="0"/>
      <w:sz w:val="24"/>
      <w:szCs w:val="20"/>
    </w:rPr>
  </w:style>
  <w:style w:type="paragraph" w:styleId="a6">
    <w:name w:val="Balloon Text"/>
    <w:basedOn w:val="a"/>
    <w:semiHidden/>
    <w:rsid w:val="00904244"/>
    <w:rPr>
      <w:sz w:val="18"/>
      <w:szCs w:val="18"/>
    </w:rPr>
  </w:style>
  <w:style w:type="paragraph" w:styleId="a7">
    <w:name w:val="Date"/>
    <w:basedOn w:val="a"/>
    <w:next w:val="a"/>
    <w:rsid w:val="00156568"/>
    <w:pPr>
      <w:ind w:leftChars="2500" w:left="100"/>
    </w:pPr>
  </w:style>
  <w:style w:type="character" w:styleId="a8">
    <w:name w:val="annotation reference"/>
    <w:semiHidden/>
    <w:rsid w:val="00DB36F5"/>
    <w:rPr>
      <w:sz w:val="21"/>
      <w:szCs w:val="21"/>
    </w:rPr>
  </w:style>
  <w:style w:type="paragraph" w:styleId="a9">
    <w:name w:val="annotation text"/>
    <w:basedOn w:val="a"/>
    <w:semiHidden/>
    <w:rsid w:val="00DB36F5"/>
    <w:pPr>
      <w:jc w:val="left"/>
    </w:pPr>
  </w:style>
  <w:style w:type="paragraph" w:styleId="aa">
    <w:name w:val="annotation subject"/>
    <w:basedOn w:val="a9"/>
    <w:next w:val="a9"/>
    <w:semiHidden/>
    <w:rsid w:val="00DB36F5"/>
    <w:rPr>
      <w:b/>
      <w:bCs/>
    </w:rPr>
  </w:style>
  <w:style w:type="paragraph" w:styleId="ab">
    <w:name w:val="header"/>
    <w:basedOn w:val="a"/>
    <w:link w:val="Char"/>
    <w:rsid w:val="0094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b"/>
    <w:rsid w:val="00941A76"/>
    <w:rPr>
      <w:kern w:val="2"/>
      <w:sz w:val="18"/>
      <w:szCs w:val="18"/>
    </w:rPr>
  </w:style>
  <w:style w:type="character" w:styleId="ac">
    <w:name w:val="FollowedHyperlink"/>
    <w:basedOn w:val="a0"/>
    <w:rsid w:val="00F85E8B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50F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8661B"/>
  </w:style>
  <w:style w:type="character" w:styleId="a5">
    <w:name w:val="Hyperlink"/>
    <w:rsid w:val="00A8661B"/>
    <w:rPr>
      <w:color w:val="0000FF"/>
      <w:u w:val="single"/>
    </w:rPr>
  </w:style>
  <w:style w:type="paragraph" w:customStyle="1" w:styleId="CharCharCharChar">
    <w:name w:val="Char Char Char Char"/>
    <w:basedOn w:val="a"/>
    <w:rsid w:val="00A95DE7"/>
    <w:rPr>
      <w:kern w:val="0"/>
      <w:sz w:val="24"/>
      <w:szCs w:val="20"/>
    </w:rPr>
  </w:style>
  <w:style w:type="paragraph" w:styleId="a6">
    <w:name w:val="Balloon Text"/>
    <w:basedOn w:val="a"/>
    <w:semiHidden/>
    <w:rsid w:val="00904244"/>
    <w:rPr>
      <w:sz w:val="18"/>
      <w:szCs w:val="18"/>
    </w:rPr>
  </w:style>
  <w:style w:type="paragraph" w:styleId="a7">
    <w:name w:val="Date"/>
    <w:basedOn w:val="a"/>
    <w:next w:val="a"/>
    <w:rsid w:val="00156568"/>
    <w:pPr>
      <w:ind w:leftChars="2500" w:left="100"/>
    </w:pPr>
  </w:style>
  <w:style w:type="character" w:styleId="a8">
    <w:name w:val="annotation reference"/>
    <w:semiHidden/>
    <w:rsid w:val="00DB36F5"/>
    <w:rPr>
      <w:sz w:val="21"/>
      <w:szCs w:val="21"/>
    </w:rPr>
  </w:style>
  <w:style w:type="paragraph" w:styleId="a9">
    <w:name w:val="annotation text"/>
    <w:basedOn w:val="a"/>
    <w:semiHidden/>
    <w:rsid w:val="00DB36F5"/>
    <w:pPr>
      <w:jc w:val="left"/>
    </w:pPr>
  </w:style>
  <w:style w:type="paragraph" w:styleId="aa">
    <w:name w:val="annotation subject"/>
    <w:basedOn w:val="a9"/>
    <w:next w:val="a9"/>
    <w:semiHidden/>
    <w:rsid w:val="00DB36F5"/>
    <w:rPr>
      <w:b/>
      <w:bCs/>
    </w:rPr>
  </w:style>
  <w:style w:type="paragraph" w:styleId="ab">
    <w:name w:val="header"/>
    <w:basedOn w:val="a"/>
    <w:link w:val="Char"/>
    <w:rsid w:val="0094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b"/>
    <w:rsid w:val="00941A76"/>
    <w:rPr>
      <w:kern w:val="2"/>
      <w:sz w:val="18"/>
      <w:szCs w:val="18"/>
    </w:rPr>
  </w:style>
  <w:style w:type="character" w:styleId="ac">
    <w:name w:val="FollowedHyperlink"/>
    <w:basedOn w:val="a0"/>
    <w:rsid w:val="00F85E8B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150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mc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2171</Words>
  <Characters>959</Characters>
  <Application>Microsoft Office Word</Application>
  <DocSecurity>0</DocSecurity>
  <Lines>7</Lines>
  <Paragraphs>6</Paragraphs>
  <ScaleCrop>false</ScaleCrop>
  <Company>Hewlett-Packard Company</Company>
  <LinksUpToDate>false</LinksUpToDate>
  <CharactersWithSpaces>3124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http://www.coamc.com.cn/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MiaoQinghui</dc:creator>
  <cp:keywords> </cp:keywords>
  <dc:description/>
  <cp:lastModifiedBy>唐雪</cp:lastModifiedBy>
  <cp:revision>20</cp:revision>
  <cp:lastPrinted>2016-01-28T09:13:00Z</cp:lastPrinted>
  <dcterms:created xsi:type="dcterms:W3CDTF">2021-10-25T03:00:00Z</dcterms:created>
  <dcterms:modified xsi:type="dcterms:W3CDTF">2025-02-08T02:49:00Z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gAAAk3fnb0CAyDNgxakj+naAhdgIX8nGblNo</vt:lpwstr>
  </property>
  <property fmtid="{D5CDD505-2E9C-101B-9397-08002B2CF9AE}" pid="3" name="MAIL_MSG_ID1">
    <vt:lpwstr>sAAAE34RQVAK31ml5BlinVa/yF3+vFwlS/pOv6m/0lZgVsQ=</vt:lpwstr>
  </property>
  <property fmtid="{D5CDD505-2E9C-101B-9397-08002B2CF9AE}" pid="4" name="EMAIL_OWNER_ADDRESS">
    <vt:lpwstr>sAAAE34RQVAK31nnwqFjEWGAw+tQRuvad4LgfoxSVi96jsU=</vt:lpwstr>
  </property>
</Properties>
</file>