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287E0">
      <w:pPr>
        <w:autoSpaceDE w:val="0"/>
        <w:autoSpaceDN w:val="0"/>
        <w:adjustRightInd w:val="0"/>
        <w:snapToGrid w:val="0"/>
        <w:spacing w:line="320" w:lineRule="exact"/>
        <w:jc w:val="center"/>
        <w:rPr>
          <w:rFonts w:ascii="楷体_GB2312" w:hAnsi="宋体" w:eastAsia="楷体_GB2312" w:cs="华文楷体"/>
          <w:b/>
          <w:kern w:val="0"/>
          <w:sz w:val="30"/>
          <w:szCs w:val="30"/>
        </w:rPr>
      </w:pPr>
      <w:r>
        <w:rPr>
          <w:rFonts w:hint="eastAsia" w:ascii="楷体_GB2312" w:hAnsi="宋体" w:eastAsia="楷体_GB2312" w:cs="华文楷体"/>
          <w:b/>
          <w:kern w:val="0"/>
          <w:sz w:val="30"/>
          <w:szCs w:val="30"/>
        </w:rPr>
        <w:t>中国东方资产管理股份</w:t>
      </w:r>
      <w:r>
        <w:rPr>
          <w:rFonts w:ascii="楷体_GB2312" w:hAnsi="宋体" w:eastAsia="楷体_GB2312" w:cs="华文楷体"/>
          <w:b/>
          <w:kern w:val="0"/>
          <w:sz w:val="30"/>
          <w:szCs w:val="30"/>
        </w:rPr>
        <w:t>有限</w:t>
      </w:r>
      <w:r>
        <w:rPr>
          <w:rFonts w:hint="eastAsia" w:ascii="楷体_GB2312" w:hAnsi="宋体" w:eastAsia="楷体_GB2312" w:cs="华文楷体"/>
          <w:b/>
          <w:kern w:val="0"/>
          <w:sz w:val="30"/>
          <w:szCs w:val="30"/>
        </w:rPr>
        <w:t>公司【四川省】</w:t>
      </w:r>
      <w:r>
        <w:rPr>
          <w:rFonts w:ascii="楷体_GB2312" w:hAnsi="宋体" w:eastAsia="楷体_GB2312" w:cs="华文楷体"/>
          <w:b/>
          <w:kern w:val="0"/>
          <w:sz w:val="30"/>
          <w:szCs w:val="30"/>
        </w:rPr>
        <w:t>分公司</w:t>
      </w:r>
    </w:p>
    <w:p w14:paraId="31B34AAF">
      <w:pPr>
        <w:autoSpaceDE w:val="0"/>
        <w:autoSpaceDN w:val="0"/>
        <w:adjustRightInd w:val="0"/>
        <w:snapToGrid w:val="0"/>
        <w:spacing w:line="320" w:lineRule="exact"/>
        <w:jc w:val="center"/>
        <w:rPr>
          <w:rFonts w:ascii="楷体_GB2312" w:hAnsi="宋体" w:eastAsia="楷体_GB2312" w:cs="华文楷体"/>
          <w:b/>
          <w:kern w:val="0"/>
          <w:sz w:val="30"/>
          <w:szCs w:val="30"/>
        </w:rPr>
      </w:pPr>
      <w:r>
        <w:rPr>
          <w:rFonts w:hint="eastAsia" w:ascii="楷体_GB2312" w:hAnsi="宋体" w:eastAsia="楷体_GB2312" w:cs="华文楷体"/>
          <w:b/>
          <w:kern w:val="0"/>
          <w:sz w:val="30"/>
          <w:szCs w:val="30"/>
        </w:rPr>
        <w:t>公开处置不良资产包公告</w:t>
      </w:r>
    </w:p>
    <w:p w14:paraId="4644D8CA">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中国东方资产管理股份有限公司【四川省】分公司（以下称为“东方”）拟公开处置以下资产（以下称为“标的资产”）：</w:t>
      </w:r>
    </w:p>
    <w:p w14:paraId="5A3DA695">
      <w:pPr>
        <w:pStyle w:val="17"/>
        <w:spacing w:before="156" w:line="360" w:lineRule="exact"/>
        <w:ind w:firstLine="480"/>
        <w:rPr>
          <w:rFonts w:ascii="楷体_GB2312" w:hAnsi="宋体" w:eastAsia="楷体_GB2312"/>
          <w:sz w:val="24"/>
        </w:rPr>
      </w:pPr>
      <w:r>
        <w:rPr>
          <w:rFonts w:hint="eastAsia" w:ascii="楷体_GB2312" w:hAnsi="宋体" w:eastAsia="楷体_GB2312"/>
          <w:sz w:val="24"/>
        </w:rPr>
        <w:t>对</w:t>
      </w:r>
      <w:r>
        <w:rPr>
          <w:rFonts w:hint="eastAsia" w:ascii="楷体_GB2312" w:hAnsi="宋体" w:eastAsia="楷体_GB2312"/>
          <w:sz w:val="24"/>
          <w:lang w:val="en-US" w:eastAsia="zh-CN"/>
        </w:rPr>
        <w:t>达州市泉伟杰商贸有限公司</w:t>
      </w:r>
      <w:r>
        <w:rPr>
          <w:rFonts w:hint="eastAsia" w:ascii="楷体_GB2312" w:hAnsi="宋体" w:eastAsia="楷体_GB2312"/>
          <w:sz w:val="24"/>
        </w:rPr>
        <w:t>等2</w:t>
      </w:r>
      <w:r>
        <w:rPr>
          <w:rFonts w:hint="eastAsia" w:ascii="楷体_GB2312" w:hAnsi="宋体" w:eastAsia="楷体_GB2312"/>
          <w:sz w:val="24"/>
          <w:lang w:val="en-US" w:eastAsia="zh-CN"/>
        </w:rPr>
        <w:t>0</w:t>
      </w:r>
      <w:r>
        <w:rPr>
          <w:rFonts w:hint="eastAsia" w:ascii="楷体_GB2312" w:hAnsi="宋体" w:eastAsia="楷体_GB2312"/>
          <w:sz w:val="24"/>
        </w:rPr>
        <w:t>户资产所享有的债权及其附属担保权益，该等</w:t>
      </w:r>
      <w:r>
        <w:rPr>
          <w:rFonts w:ascii="楷体_GB2312" w:hAnsi="宋体" w:eastAsia="楷体_GB2312"/>
          <w:sz w:val="24"/>
        </w:rPr>
        <w:t>债权及其附属担保权益的</w:t>
      </w:r>
      <w:r>
        <w:rPr>
          <w:rFonts w:hint="eastAsia" w:ascii="楷体_GB2312" w:hAnsi="宋体" w:eastAsia="楷体_GB2312"/>
          <w:sz w:val="24"/>
        </w:rPr>
        <w:t>所</w:t>
      </w:r>
      <w:r>
        <w:rPr>
          <w:rFonts w:ascii="楷体_GB2312" w:hAnsi="宋体" w:eastAsia="楷体_GB2312"/>
          <w:sz w:val="24"/>
        </w:rPr>
        <w:t>有人</w:t>
      </w:r>
      <w:r>
        <w:rPr>
          <w:rFonts w:hint="eastAsia" w:ascii="楷体_GB2312" w:hAnsi="宋体" w:eastAsia="楷体_GB2312"/>
          <w:sz w:val="24"/>
        </w:rPr>
        <w:t>为东方，截至【2024】年【12】月【2</w:t>
      </w:r>
      <w:r>
        <w:rPr>
          <w:rFonts w:ascii="楷体_GB2312" w:hAnsi="宋体" w:eastAsia="楷体_GB2312"/>
          <w:sz w:val="24"/>
        </w:rPr>
        <w:t>0</w:t>
      </w:r>
      <w:r>
        <w:rPr>
          <w:rFonts w:hint="eastAsia" w:ascii="楷体_GB2312" w:hAnsi="宋体" w:eastAsia="楷体_GB2312"/>
          <w:sz w:val="24"/>
        </w:rPr>
        <w:t>】日，该等债权</w:t>
      </w:r>
      <w:r>
        <w:rPr>
          <w:rFonts w:ascii="楷体_GB2312" w:hAnsi="宋体" w:eastAsia="楷体_GB2312"/>
          <w:sz w:val="24"/>
        </w:rPr>
        <w:t>项下</w:t>
      </w:r>
      <w:r>
        <w:rPr>
          <w:rFonts w:hint="eastAsia" w:ascii="楷体_GB2312" w:hAnsi="宋体" w:eastAsia="楷体_GB2312"/>
          <w:sz w:val="24"/>
        </w:rPr>
        <w:t>未偿本息合计人民币【45</w:t>
      </w:r>
      <w:r>
        <w:rPr>
          <w:rFonts w:hint="eastAsia" w:ascii="楷体_GB2312" w:hAnsi="宋体" w:eastAsia="楷体_GB2312"/>
          <w:sz w:val="24"/>
          <w:lang w:val="en-US" w:eastAsia="zh-CN"/>
        </w:rPr>
        <w:t>,</w:t>
      </w:r>
      <w:r>
        <w:rPr>
          <w:rFonts w:hint="eastAsia" w:ascii="楷体_GB2312" w:hAnsi="宋体" w:eastAsia="楷体_GB2312"/>
          <w:sz w:val="24"/>
        </w:rPr>
        <w:t>837</w:t>
      </w:r>
      <w:r>
        <w:rPr>
          <w:rFonts w:hint="eastAsia" w:ascii="楷体_GB2312" w:hAnsi="宋体" w:eastAsia="楷体_GB2312"/>
          <w:sz w:val="24"/>
          <w:lang w:val="en-US" w:eastAsia="zh-CN"/>
        </w:rPr>
        <w:t>,</w:t>
      </w:r>
      <w:r>
        <w:rPr>
          <w:rFonts w:hint="eastAsia" w:ascii="楷体_GB2312" w:hAnsi="宋体" w:eastAsia="楷体_GB2312"/>
          <w:sz w:val="24"/>
        </w:rPr>
        <w:t>0992.94】元，其中未偿本金人民币【311</w:t>
      </w:r>
      <w:r>
        <w:rPr>
          <w:rFonts w:hint="eastAsia" w:ascii="楷体_GB2312" w:hAnsi="宋体" w:eastAsia="楷体_GB2312"/>
          <w:sz w:val="24"/>
          <w:lang w:val="en-US" w:eastAsia="zh-CN"/>
        </w:rPr>
        <w:t>,</w:t>
      </w:r>
      <w:r>
        <w:rPr>
          <w:rFonts w:hint="eastAsia" w:ascii="楷体_GB2312" w:hAnsi="宋体" w:eastAsia="楷体_GB2312"/>
          <w:sz w:val="24"/>
        </w:rPr>
        <w:t>086</w:t>
      </w:r>
      <w:r>
        <w:rPr>
          <w:rFonts w:hint="eastAsia" w:ascii="楷体_GB2312" w:hAnsi="宋体" w:eastAsia="楷体_GB2312"/>
          <w:sz w:val="24"/>
          <w:lang w:val="en-US" w:eastAsia="zh-CN"/>
        </w:rPr>
        <w:t>.</w:t>
      </w:r>
      <w:r>
        <w:rPr>
          <w:rFonts w:hint="eastAsia" w:ascii="楷体_GB2312" w:hAnsi="宋体" w:eastAsia="楷体_GB2312"/>
          <w:sz w:val="24"/>
        </w:rPr>
        <w:t>337</w:t>
      </w:r>
      <w:r>
        <w:rPr>
          <w:rFonts w:hint="eastAsia" w:ascii="楷体_GB2312" w:hAnsi="宋体" w:eastAsia="楷体_GB2312"/>
          <w:sz w:val="24"/>
          <w:lang w:val="en-US" w:eastAsia="zh-CN"/>
        </w:rPr>
        <w:t>.</w:t>
      </w:r>
      <w:r>
        <w:rPr>
          <w:rFonts w:hint="eastAsia" w:ascii="楷体_GB2312" w:hAnsi="宋体" w:eastAsia="楷体_GB2312"/>
          <w:sz w:val="24"/>
        </w:rPr>
        <w:t>98】元，未偿利息（含罚息）人民币【147</w:t>
      </w:r>
      <w:r>
        <w:rPr>
          <w:rFonts w:hint="eastAsia" w:ascii="楷体_GB2312" w:hAnsi="宋体" w:eastAsia="楷体_GB2312"/>
          <w:sz w:val="24"/>
          <w:lang w:val="en-US" w:eastAsia="zh-CN"/>
        </w:rPr>
        <w:t>,</w:t>
      </w:r>
      <w:r>
        <w:rPr>
          <w:rFonts w:hint="eastAsia" w:ascii="楷体_GB2312" w:hAnsi="宋体" w:eastAsia="楷体_GB2312"/>
          <w:sz w:val="24"/>
        </w:rPr>
        <w:t>284</w:t>
      </w:r>
      <w:r>
        <w:rPr>
          <w:rFonts w:hint="eastAsia" w:ascii="楷体_GB2312" w:hAnsi="宋体" w:eastAsia="楷体_GB2312"/>
          <w:sz w:val="24"/>
          <w:lang w:val="en-US" w:eastAsia="zh-CN"/>
        </w:rPr>
        <w:t>,</w:t>
      </w:r>
      <w:r>
        <w:rPr>
          <w:rFonts w:hint="eastAsia" w:ascii="楷体_GB2312" w:hAnsi="宋体" w:eastAsia="楷体_GB2312"/>
          <w:sz w:val="24"/>
        </w:rPr>
        <w:t>654.96】元，标的资产</w:t>
      </w:r>
      <w:r>
        <w:rPr>
          <w:rFonts w:ascii="楷体_GB2312" w:hAnsi="宋体" w:eastAsia="楷体_GB2312"/>
          <w:sz w:val="24"/>
        </w:rPr>
        <w:t>具体情况</w:t>
      </w:r>
      <w:r>
        <w:rPr>
          <w:rFonts w:hint="eastAsia" w:ascii="楷体_GB2312" w:hAnsi="宋体" w:eastAsia="楷体_GB2312"/>
          <w:sz w:val="24"/>
        </w:rPr>
        <w:t>详见</w:t>
      </w:r>
      <w:r>
        <w:rPr>
          <w:rFonts w:ascii="楷体_GB2312" w:hAnsi="宋体" w:eastAsia="楷体_GB2312"/>
          <w:sz w:val="24"/>
        </w:rPr>
        <w:t>附件。</w:t>
      </w:r>
    </w:p>
    <w:p w14:paraId="0A2C7CDF">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特别提示：标的资产信息仅供投资者参考。就标的资产</w:t>
      </w:r>
      <w:r>
        <w:rPr>
          <w:rFonts w:ascii="楷体_GB2312" w:hAnsi="宋体" w:eastAsia="楷体_GB2312"/>
          <w:sz w:val="24"/>
        </w:rPr>
        <w:t>项下</w:t>
      </w:r>
      <w:r>
        <w:rPr>
          <w:rFonts w:hint="eastAsia" w:ascii="楷体_GB2312" w:hAnsi="宋体" w:eastAsia="楷体_GB2312"/>
          <w:sz w:val="24"/>
        </w:rPr>
        <w:t>债权及其附属担保权益的合法</w:t>
      </w:r>
      <w:r>
        <w:rPr>
          <w:rFonts w:ascii="楷体_GB2312" w:hAnsi="宋体" w:eastAsia="楷体_GB2312"/>
          <w:sz w:val="24"/>
        </w:rPr>
        <w:t>有效性</w:t>
      </w:r>
      <w:r>
        <w:rPr>
          <w:rFonts w:hint="eastAsia" w:ascii="楷体_GB2312" w:hAnsi="宋体" w:eastAsia="楷体_GB2312"/>
          <w:sz w:val="24"/>
        </w:rPr>
        <w:t>及</w:t>
      </w:r>
      <w:r>
        <w:rPr>
          <w:rFonts w:ascii="楷体_GB2312" w:hAnsi="宋体" w:eastAsia="楷体_GB2312"/>
          <w:sz w:val="24"/>
        </w:rPr>
        <w:t>时效</w:t>
      </w:r>
      <w:r>
        <w:rPr>
          <w:rFonts w:hint="eastAsia" w:ascii="楷体_GB2312" w:hAnsi="宋体" w:eastAsia="楷体_GB2312"/>
          <w:sz w:val="24"/>
        </w:rPr>
        <w:t>，以</w:t>
      </w:r>
      <w:r>
        <w:rPr>
          <w:rFonts w:ascii="楷体_GB2312" w:hAnsi="宋体" w:eastAsia="楷体_GB2312"/>
          <w:sz w:val="24"/>
        </w:rPr>
        <w:t>及债务人、担保人现状</w:t>
      </w:r>
      <w:r>
        <w:rPr>
          <w:rFonts w:hint="eastAsia" w:ascii="楷体_GB2312" w:hAnsi="宋体" w:eastAsia="楷体_GB2312"/>
          <w:sz w:val="24"/>
        </w:rPr>
        <w:t>等，请投资者自行调查及判断，东方对此不作任何保证。</w:t>
      </w:r>
    </w:p>
    <w:p w14:paraId="67BF2936">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标的资产的意向投资者须为具有相应购买能力的、在【中国</w:t>
      </w:r>
      <w:r>
        <w:rPr>
          <w:rFonts w:ascii="楷体_GB2312" w:hAnsi="宋体" w:eastAsia="楷体_GB2312"/>
          <w:sz w:val="24"/>
        </w:rPr>
        <w:t>境内</w:t>
      </w:r>
      <w:r>
        <w:rPr>
          <w:rFonts w:hint="eastAsia" w:ascii="楷体_GB2312" w:hAnsi="宋体" w:eastAsia="楷体_GB2312"/>
          <w:sz w:val="24"/>
        </w:rPr>
        <w:t>】依法注册并存续的公司、企业或其他经济组织或自然人。</w:t>
      </w:r>
    </w:p>
    <w:p w14:paraId="2B9CF148">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投资人不得为:(1)国家公务员、金融资产管理公司工作人员、该项资产处置工作相关中介机构所属人员，及上述人员出资成立的法人机构或特殊目的实体、参与的非金融机构法人； (2)债务人、担保人为自然人的，其本人和其直系亲属，及上述自然人出资成立的法人机构或特殊目的实体；(3)债务企业的控股股东、实际控制人及其控股下属公司，担保企业及其控股下属公司，债务企业的其他关联企业，及上述主体出资成立的法人机构或特殊目的实体；(4)金融监管机构工作人员、政法干警、债务人管理人员，及上述主体参与的非金融机构法人；(5)参与不良债权转让的金融资产管理公司工作人员、受托资产评估机构负责人员等的直系亲属；(6)国家金融监督管理总局认定的其他不宜受让的主体。</w:t>
      </w:r>
    </w:p>
    <w:p w14:paraId="3EE129E1">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如投资者有意向了解有关标的资产的情况、注册程序、交易时间表等详情，请登陆中国东方资产管理股份有限公司网站</w:t>
      </w:r>
      <w:r>
        <w:fldChar w:fldCharType="begin"/>
      </w:r>
      <w:r>
        <w:instrText xml:space="preserve"> HYPERLINK "http://www.coamc.com.cn" </w:instrText>
      </w:r>
      <w:r>
        <w:fldChar w:fldCharType="separate"/>
      </w:r>
      <w:r>
        <w:rPr>
          <w:rStyle w:val="13"/>
          <w:rFonts w:hint="eastAsia" w:ascii="楷体_GB2312" w:hAnsi="宋体" w:eastAsia="楷体_GB2312"/>
          <w:color w:val="auto"/>
          <w:sz w:val="24"/>
          <w:u w:val="none"/>
        </w:rPr>
        <w:t>www.coamc.com.cn</w:t>
      </w:r>
      <w:r>
        <w:rPr>
          <w:rStyle w:val="13"/>
          <w:rFonts w:hint="eastAsia" w:ascii="楷体_GB2312" w:hAnsi="宋体" w:eastAsia="楷体_GB2312"/>
          <w:color w:val="auto"/>
          <w:sz w:val="24"/>
          <w:u w:val="none"/>
        </w:rPr>
        <w:fldChar w:fldCharType="end"/>
      </w:r>
      <w:r>
        <w:rPr>
          <w:rFonts w:hint="eastAsia" w:ascii="楷体_GB2312" w:hAnsi="宋体" w:eastAsia="楷体_GB2312"/>
          <w:sz w:val="24"/>
        </w:rPr>
        <w:t>。</w:t>
      </w:r>
    </w:p>
    <w:p w14:paraId="5F106498">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任何对标的资产处置交易持有异议者均可提出意见或异议。欢迎社会各界向东方提供债务人及担保人的资产线索和其它相关情况。</w:t>
      </w:r>
    </w:p>
    <w:p w14:paraId="12EFFC7B">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标的资产处置交易的联系人如下：</w:t>
      </w:r>
    </w:p>
    <w:p w14:paraId="1BB5A552">
      <w:pPr>
        <w:tabs>
          <w:tab w:val="left" w:pos="8700"/>
        </w:tabs>
        <w:spacing w:line="360" w:lineRule="exact"/>
        <w:ind w:left="1200"/>
        <w:rPr>
          <w:rFonts w:ascii="楷体_GB2312" w:hAnsi="宋体" w:eastAsia="楷体_GB2312"/>
          <w:sz w:val="24"/>
        </w:rPr>
      </w:pPr>
    </w:p>
    <w:p w14:paraId="2293FBD4">
      <w:pPr>
        <w:tabs>
          <w:tab w:val="left" w:pos="1080"/>
          <w:tab w:val="left" w:pos="8700"/>
        </w:tabs>
        <w:spacing w:line="360" w:lineRule="exact"/>
        <w:ind w:firstLine="991" w:firstLineChars="413"/>
        <w:rPr>
          <w:rFonts w:ascii="楷体_GB2312" w:hAnsi="宋体" w:eastAsia="楷体_GB2312"/>
          <w:sz w:val="24"/>
        </w:rPr>
      </w:pPr>
      <w:r>
        <w:rPr>
          <w:rFonts w:hint="eastAsia" w:ascii="楷体_GB2312" w:hAnsi="宋体" w:eastAsia="楷体_GB2312"/>
          <w:sz w:val="24"/>
        </w:rPr>
        <w:t>东方联系人:陈女士、郑先生</w:t>
      </w:r>
    </w:p>
    <w:p w14:paraId="2230C0F8">
      <w:pPr>
        <w:tabs>
          <w:tab w:val="left" w:pos="8700"/>
        </w:tabs>
        <w:spacing w:line="360" w:lineRule="exact"/>
        <w:ind w:left="1080"/>
        <w:rPr>
          <w:rFonts w:ascii="楷体_GB2312" w:hAnsi="宋体" w:eastAsia="楷体_GB2312"/>
          <w:sz w:val="24"/>
        </w:rPr>
      </w:pPr>
      <w:r>
        <w:rPr>
          <w:rFonts w:hint="eastAsia" w:ascii="楷体_GB2312" w:hAnsi="宋体" w:eastAsia="楷体_GB2312"/>
          <w:sz w:val="24"/>
        </w:rPr>
        <w:t>电话：028-</w:t>
      </w:r>
      <w:r>
        <w:rPr>
          <w:rFonts w:ascii="楷体_GB2312" w:hAnsi="宋体" w:eastAsia="楷体_GB2312"/>
          <w:sz w:val="24"/>
        </w:rPr>
        <w:t>86402263</w:t>
      </w:r>
      <w:r>
        <w:rPr>
          <w:rFonts w:hint="eastAsia" w:ascii="楷体_GB2312" w:hAnsi="宋体" w:eastAsia="楷体_GB2312"/>
          <w:sz w:val="24"/>
        </w:rPr>
        <w:t>、0</w:t>
      </w:r>
      <w:r>
        <w:rPr>
          <w:rFonts w:ascii="楷体_GB2312" w:hAnsi="宋体" w:eastAsia="楷体_GB2312"/>
          <w:sz w:val="24"/>
        </w:rPr>
        <w:t>28</w:t>
      </w:r>
      <w:r>
        <w:rPr>
          <w:rFonts w:hint="eastAsia" w:ascii="楷体_GB2312" w:hAnsi="宋体" w:eastAsia="楷体_GB2312"/>
          <w:sz w:val="24"/>
        </w:rPr>
        <w:t>-</w:t>
      </w:r>
      <w:r>
        <w:rPr>
          <w:rFonts w:ascii="楷体_GB2312" w:hAnsi="宋体" w:eastAsia="楷体_GB2312"/>
          <w:sz w:val="24"/>
        </w:rPr>
        <w:t>86402264</w:t>
      </w:r>
    </w:p>
    <w:p w14:paraId="7C36B7A0">
      <w:pPr>
        <w:tabs>
          <w:tab w:val="left" w:pos="8700"/>
        </w:tabs>
        <w:spacing w:line="360" w:lineRule="exact"/>
        <w:ind w:left="1080"/>
        <w:rPr>
          <w:rFonts w:ascii="楷体_GB2312" w:hAnsi="宋体" w:eastAsia="楷体_GB2312"/>
          <w:sz w:val="24"/>
        </w:rPr>
      </w:pPr>
      <w:r>
        <w:rPr>
          <w:rFonts w:hint="eastAsia" w:ascii="楷体_GB2312" w:hAnsi="宋体" w:eastAsia="楷体_GB2312"/>
          <w:sz w:val="24"/>
        </w:rPr>
        <w:t>地址：成都市青羊区人民中路二段35号中银大厦30楼</w:t>
      </w:r>
    </w:p>
    <w:p w14:paraId="5A2F7600">
      <w:pPr>
        <w:tabs>
          <w:tab w:val="left" w:pos="8700"/>
        </w:tabs>
        <w:spacing w:line="360" w:lineRule="exact"/>
        <w:ind w:firstLine="1080" w:firstLineChars="450"/>
        <w:rPr>
          <w:rFonts w:eastAsia="楷体_GB2312"/>
          <w:sz w:val="24"/>
        </w:rPr>
      </w:pPr>
      <w:r>
        <w:rPr>
          <w:rFonts w:eastAsia="楷体_GB2312"/>
          <w:sz w:val="24"/>
        </w:rPr>
        <w:tab/>
      </w:r>
    </w:p>
    <w:p w14:paraId="69CEC805">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对排斥、阻挠异议或征询的行为可向有关部门举报。</w:t>
      </w:r>
    </w:p>
    <w:p w14:paraId="3CDC68D8">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举报电话：010-66507226（中国东方资产管理股份有限公司纪委办公室）；</w:t>
      </w:r>
    </w:p>
    <w:p w14:paraId="6EAEF810">
      <w:pPr>
        <w:spacing w:before="240" w:line="360" w:lineRule="exact"/>
        <w:ind w:firstLine="1680" w:firstLineChars="700"/>
        <w:rPr>
          <w:rFonts w:ascii="楷体_GB2312" w:hAnsi="宋体" w:eastAsia="楷体_GB2312"/>
          <w:sz w:val="24"/>
        </w:rPr>
      </w:pPr>
      <w:r>
        <w:rPr>
          <w:rFonts w:hint="eastAsia" w:eastAsia="楷体_GB2312"/>
          <w:sz w:val="24"/>
        </w:rPr>
        <w:t>028-86402194（</w:t>
      </w:r>
      <w:r>
        <w:rPr>
          <w:rFonts w:eastAsia="楷体_GB2312"/>
          <w:sz w:val="24"/>
        </w:rPr>
        <w:t>中国东方资产管理</w:t>
      </w:r>
      <w:r>
        <w:rPr>
          <w:rFonts w:hint="eastAsia" w:eastAsia="楷体_GB2312"/>
          <w:sz w:val="24"/>
        </w:rPr>
        <w:t>股份有限</w:t>
      </w:r>
      <w:r>
        <w:rPr>
          <w:rFonts w:eastAsia="楷体_GB2312"/>
          <w:sz w:val="24"/>
        </w:rPr>
        <w:t>公司</w:t>
      </w:r>
      <w:r>
        <w:rPr>
          <w:rFonts w:hint="eastAsia" w:eastAsia="楷体_GB2312"/>
          <w:sz w:val="24"/>
        </w:rPr>
        <w:t>【四川省】分公司）</w:t>
      </w:r>
    </w:p>
    <w:p w14:paraId="496F7699">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监督管理部门：财政部【四川】监管局 电话：【028-86922601】</w:t>
      </w:r>
    </w:p>
    <w:p w14:paraId="54259DED">
      <w:pPr>
        <w:spacing w:line="360" w:lineRule="exact"/>
        <w:ind w:firstLine="2160" w:firstLineChars="900"/>
        <w:rPr>
          <w:rFonts w:ascii="楷体_GB2312" w:hAnsi="宋体" w:eastAsia="楷体_GB2312"/>
          <w:sz w:val="24"/>
        </w:rPr>
      </w:pPr>
      <w:r>
        <w:rPr>
          <w:rFonts w:hint="eastAsia" w:ascii="楷体_GB2312" w:hAnsi="宋体" w:eastAsia="楷体_GB2312"/>
          <w:sz w:val="24"/>
        </w:rPr>
        <w:t>国家金融监督管理总局【四川】监管局 电话：【028-85215772】</w:t>
      </w:r>
    </w:p>
    <w:p w14:paraId="42287ED7">
      <w:pPr>
        <w:spacing w:before="240" w:line="360" w:lineRule="exact"/>
        <w:ind w:firstLine="480" w:firstLineChars="200"/>
        <w:rPr>
          <w:rFonts w:ascii="楷体_GB2312" w:hAnsi="宋体" w:eastAsia="楷体_GB2312"/>
          <w:sz w:val="24"/>
        </w:rPr>
      </w:pPr>
      <w:r>
        <w:rPr>
          <w:rFonts w:hint="eastAsia" w:ascii="楷体_GB2312" w:hAnsi="宋体" w:eastAsia="楷体_GB2312"/>
          <w:sz w:val="24"/>
        </w:rPr>
        <w:t>本公告不构成一项要约。本公告有效期限自公告之日起十五个工作日止。</w:t>
      </w:r>
    </w:p>
    <w:p w14:paraId="2696CD9B">
      <w:pPr>
        <w:spacing w:before="240" w:line="360" w:lineRule="exact"/>
        <w:ind w:firstLine="480" w:firstLineChars="200"/>
        <w:jc w:val="left"/>
        <w:rPr>
          <w:rFonts w:ascii="楷体_GB2312" w:hAnsi="宋体" w:eastAsia="楷体_GB2312"/>
          <w:sz w:val="24"/>
        </w:rPr>
      </w:pPr>
      <w:r>
        <w:rPr>
          <w:rFonts w:hint="eastAsia" w:ascii="楷体_GB2312" w:hAnsi="宋体" w:eastAsia="楷体_GB2312"/>
          <w:sz w:val="24"/>
        </w:rPr>
        <w:t>特此公告。</w:t>
      </w:r>
      <w:bookmarkStart w:id="5" w:name="_GoBack"/>
      <w:bookmarkEnd w:id="5"/>
    </w:p>
    <w:p w14:paraId="025A8270">
      <w:pPr>
        <w:spacing w:before="240" w:line="360" w:lineRule="exact"/>
        <w:ind w:firstLine="482" w:firstLineChars="200"/>
        <w:jc w:val="right"/>
        <w:rPr>
          <w:rFonts w:ascii="楷体_GB2312" w:hAnsi="宋体" w:eastAsia="楷体_GB2312"/>
          <w:b/>
          <w:sz w:val="24"/>
        </w:rPr>
      </w:pPr>
      <w:r>
        <w:rPr>
          <w:rFonts w:hint="eastAsia" w:ascii="楷体_GB2312" w:hAnsi="宋体" w:eastAsia="楷体_GB2312"/>
          <w:b/>
          <w:sz w:val="24"/>
        </w:rPr>
        <w:t>中国东方资产管理股份有限公司【四川省】</w:t>
      </w:r>
      <w:r>
        <w:rPr>
          <w:rFonts w:ascii="楷体_GB2312" w:hAnsi="宋体" w:eastAsia="楷体_GB2312"/>
          <w:b/>
          <w:sz w:val="24"/>
        </w:rPr>
        <w:t>分公司</w:t>
      </w:r>
    </w:p>
    <w:p w14:paraId="654AAEF8">
      <w:pPr>
        <w:wordWrap w:val="0"/>
        <w:spacing w:before="120" w:line="360" w:lineRule="exact"/>
        <w:ind w:firstLine="482" w:firstLineChars="200"/>
        <w:jc w:val="right"/>
        <w:rPr>
          <w:rFonts w:ascii="楷体_GB2312" w:hAnsi="宋体" w:eastAsia="楷体_GB2312"/>
          <w:b/>
          <w:sz w:val="24"/>
        </w:rPr>
      </w:pPr>
      <w:r>
        <w:rPr>
          <w:rFonts w:hint="eastAsia" w:ascii="楷体_GB2312" w:hAnsi="宋体" w:eastAsia="楷体_GB2312"/>
          <w:b/>
          <w:sz w:val="24"/>
        </w:rPr>
        <w:t>二〇【二五】年【</w:t>
      </w:r>
      <w:r>
        <w:rPr>
          <w:rFonts w:hint="eastAsia" w:ascii="楷体_GB2312" w:hAnsi="宋体" w:eastAsia="楷体_GB2312"/>
          <w:b/>
          <w:sz w:val="24"/>
          <w:lang w:val="en-US" w:eastAsia="zh-CN"/>
        </w:rPr>
        <w:t>七</w:t>
      </w:r>
      <w:r>
        <w:rPr>
          <w:rFonts w:hint="eastAsia" w:ascii="楷体_GB2312" w:hAnsi="宋体" w:eastAsia="楷体_GB2312"/>
          <w:b/>
          <w:sz w:val="24"/>
        </w:rPr>
        <w:t>】月【</w:t>
      </w:r>
      <w:r>
        <w:rPr>
          <w:rFonts w:hint="eastAsia" w:ascii="楷体_GB2312" w:hAnsi="宋体" w:eastAsia="楷体_GB2312"/>
          <w:b/>
          <w:sz w:val="24"/>
          <w:lang w:val="en-US" w:eastAsia="zh-CN"/>
        </w:rPr>
        <w:t>二</w:t>
      </w:r>
      <w:r>
        <w:rPr>
          <w:rFonts w:hint="eastAsia" w:ascii="楷体_GB2312" w:hAnsi="宋体" w:eastAsia="楷体_GB2312"/>
          <w:b/>
          <w:sz w:val="24"/>
        </w:rPr>
        <w:t>】日</w:t>
      </w:r>
    </w:p>
    <w:p w14:paraId="7D274758">
      <w:pPr>
        <w:spacing w:before="120" w:line="360" w:lineRule="exact"/>
        <w:ind w:firstLine="482" w:firstLineChars="200"/>
        <w:jc w:val="right"/>
        <w:rPr>
          <w:rFonts w:ascii="楷体_GB2312" w:hAnsi="宋体" w:eastAsia="楷体_GB2312"/>
          <w:b/>
          <w:sz w:val="24"/>
        </w:rPr>
      </w:pPr>
    </w:p>
    <w:p w14:paraId="66E8F759">
      <w:pPr>
        <w:spacing w:before="120" w:line="360" w:lineRule="exact"/>
        <w:ind w:firstLine="482" w:firstLineChars="200"/>
        <w:jc w:val="right"/>
        <w:rPr>
          <w:rFonts w:ascii="楷体_GB2312" w:hAnsi="宋体" w:eastAsia="楷体_GB2312"/>
          <w:b/>
          <w:sz w:val="24"/>
        </w:rPr>
      </w:pPr>
    </w:p>
    <w:p w14:paraId="1265FF41">
      <w:pPr>
        <w:widowControl/>
        <w:jc w:val="left"/>
        <w:rPr>
          <w:rFonts w:ascii="楷体_GB2312" w:hAnsi="宋体" w:eastAsia="楷体_GB2312"/>
          <w:b/>
          <w:sz w:val="24"/>
        </w:rPr>
      </w:pPr>
      <w:bookmarkStart w:id="0" w:name="_Toc495656879"/>
      <w:bookmarkStart w:id="1" w:name="_Toc492025749"/>
      <w:bookmarkStart w:id="2" w:name="_Toc467844824"/>
      <w:bookmarkStart w:id="3" w:name="_Toc495597280"/>
      <w:bookmarkStart w:id="4" w:name="_Toc479296824"/>
      <w:r>
        <w:rPr>
          <w:rFonts w:ascii="楷体_GB2312" w:hAnsi="宋体" w:eastAsia="楷体_GB2312"/>
          <w:b/>
          <w:sz w:val="24"/>
        </w:rPr>
        <w:br w:type="page"/>
      </w:r>
    </w:p>
    <w:p w14:paraId="627125DC">
      <w:pPr>
        <w:autoSpaceDE w:val="0"/>
        <w:autoSpaceDN w:val="0"/>
        <w:adjustRightInd w:val="0"/>
        <w:spacing w:after="312" w:afterLines="100" w:line="300" w:lineRule="auto"/>
        <w:outlineLvl w:val="0"/>
        <w:rPr>
          <w:rFonts w:ascii="楷体_GB2312" w:hAnsi="宋体" w:eastAsia="楷体_GB2312"/>
          <w:b/>
          <w:sz w:val="24"/>
        </w:rPr>
        <w:sectPr>
          <w:footerReference r:id="rId3" w:type="default"/>
          <w:footerReference r:id="rId4" w:type="even"/>
          <w:pgSz w:w="11906" w:h="16838"/>
          <w:pgMar w:top="1304" w:right="1106" w:bottom="1304" w:left="1304" w:header="851" w:footer="992" w:gutter="0"/>
          <w:cols w:space="425" w:num="1"/>
          <w:docGrid w:type="lines" w:linePitch="312" w:charSpace="0"/>
        </w:sectPr>
      </w:pPr>
    </w:p>
    <w:p w14:paraId="4A04891E">
      <w:pPr>
        <w:autoSpaceDE w:val="0"/>
        <w:autoSpaceDN w:val="0"/>
        <w:adjustRightInd w:val="0"/>
        <w:spacing w:after="316" w:afterLines="100" w:line="300" w:lineRule="auto"/>
        <w:outlineLvl w:val="0"/>
        <w:rPr>
          <w:rFonts w:ascii="楷体_GB2312" w:hAnsi="宋体" w:eastAsia="楷体_GB2312"/>
          <w:b/>
          <w:sz w:val="24"/>
        </w:rPr>
      </w:pPr>
      <w:r>
        <w:rPr>
          <w:rFonts w:ascii="楷体_GB2312" w:hAnsi="宋体" w:eastAsia="楷体_GB2312"/>
          <w:b/>
          <w:sz w:val="24"/>
        </w:rPr>
        <w:t xml:space="preserve">附件   </w:t>
      </w:r>
      <w:bookmarkEnd w:id="0"/>
      <w:bookmarkEnd w:id="1"/>
      <w:bookmarkEnd w:id="2"/>
      <w:bookmarkEnd w:id="3"/>
      <w:bookmarkEnd w:id="4"/>
      <w:r>
        <w:rPr>
          <w:rFonts w:hint="eastAsia" w:ascii="楷体_GB2312" w:hAnsi="宋体" w:eastAsia="楷体_GB2312"/>
          <w:b/>
          <w:sz w:val="24"/>
        </w:rPr>
        <w:t>标的资产</w:t>
      </w:r>
      <w:r>
        <w:rPr>
          <w:rFonts w:ascii="楷体_GB2312" w:hAnsi="宋体" w:eastAsia="楷体_GB2312"/>
          <w:b/>
          <w:sz w:val="24"/>
        </w:rPr>
        <w:t>清单</w:t>
      </w:r>
    </w:p>
    <w:p w14:paraId="2B0D29E1">
      <w:pPr>
        <w:spacing w:line="300" w:lineRule="auto"/>
        <w:jc w:val="center"/>
        <w:rPr>
          <w:rFonts w:ascii="楷体_GB2312" w:hAnsi="宋体" w:eastAsia="楷体_GB2312"/>
          <w:b/>
          <w:sz w:val="24"/>
        </w:rPr>
      </w:pPr>
      <w:r>
        <w:rPr>
          <w:rFonts w:hint="eastAsia" w:ascii="楷体_GB2312" w:hAnsi="宋体" w:eastAsia="楷体_GB2312"/>
          <w:b/>
          <w:sz w:val="24"/>
        </w:rPr>
        <w:t>标的资产清单</w:t>
      </w:r>
    </w:p>
    <w:p w14:paraId="330C5862">
      <w:pPr>
        <w:spacing w:line="240" w:lineRule="exact"/>
        <w:ind w:firstLine="5405" w:firstLineChars="2350"/>
        <w:jc w:val="right"/>
        <w:rPr>
          <w:rFonts w:ascii="楷体" w:hAnsi="楷体" w:eastAsia="楷体"/>
          <w:sz w:val="23"/>
          <w:szCs w:val="28"/>
        </w:rPr>
      </w:pPr>
      <w:r>
        <w:rPr>
          <w:rFonts w:hint="eastAsia" w:ascii="楷体" w:hAnsi="楷体" w:eastAsia="楷体"/>
          <w:sz w:val="23"/>
          <w:szCs w:val="28"/>
        </w:rPr>
        <w:t>单位：人民币  元</w:t>
      </w:r>
    </w:p>
    <w:p w14:paraId="7BA7718D">
      <w:pPr>
        <w:spacing w:line="240" w:lineRule="exact"/>
        <w:ind w:firstLine="5405" w:firstLineChars="2350"/>
        <w:jc w:val="right"/>
        <w:rPr>
          <w:rFonts w:ascii="楷体" w:hAnsi="楷体" w:eastAsia="楷体"/>
          <w:sz w:val="23"/>
          <w:szCs w:val="28"/>
        </w:rPr>
      </w:pPr>
      <w:r>
        <w:rPr>
          <w:rFonts w:hint="eastAsia" w:ascii="楷体" w:hAnsi="楷体" w:eastAsia="楷体"/>
          <w:sz w:val="23"/>
          <w:szCs w:val="28"/>
        </w:rPr>
        <w:t>基准日：2024年12月</w:t>
      </w:r>
      <w:r>
        <w:rPr>
          <w:rFonts w:ascii="楷体" w:hAnsi="楷体" w:eastAsia="楷体"/>
          <w:sz w:val="23"/>
          <w:szCs w:val="28"/>
        </w:rPr>
        <w:t>20</w:t>
      </w:r>
      <w:r>
        <w:rPr>
          <w:rFonts w:hint="eastAsia" w:ascii="楷体" w:hAnsi="楷体" w:eastAsia="楷体"/>
          <w:sz w:val="23"/>
          <w:szCs w:val="28"/>
        </w:rPr>
        <w:t>日</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1112"/>
        <w:gridCol w:w="699"/>
        <w:gridCol w:w="974"/>
        <w:gridCol w:w="1115"/>
        <w:gridCol w:w="5079"/>
        <w:gridCol w:w="5073"/>
      </w:tblGrid>
      <w:tr w14:paraId="6567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36" w:type="pct"/>
            <w:vAlign w:val="center"/>
          </w:tcPr>
          <w:p w14:paraId="4E0022F4">
            <w:pPr>
              <w:adjustRightInd w:val="0"/>
              <w:snapToGrid w:val="0"/>
              <w:spacing w:line="300" w:lineRule="auto"/>
              <w:jc w:val="center"/>
              <w:outlineLvl w:val="0"/>
              <w:rPr>
                <w:rFonts w:ascii="楷体" w:hAnsi="楷体" w:eastAsia="楷体"/>
                <w:b/>
                <w:bCs/>
                <w:sz w:val="18"/>
                <w:szCs w:val="18"/>
              </w:rPr>
            </w:pPr>
            <w:r>
              <w:rPr>
                <w:rFonts w:hint="eastAsia" w:ascii="楷体" w:hAnsi="楷体" w:eastAsia="楷体"/>
                <w:b/>
                <w:bCs/>
                <w:sz w:val="18"/>
                <w:szCs w:val="18"/>
              </w:rPr>
              <w:t>序号</w:t>
            </w:r>
          </w:p>
        </w:tc>
        <w:tc>
          <w:tcPr>
            <w:tcW w:w="384" w:type="pct"/>
            <w:vAlign w:val="center"/>
          </w:tcPr>
          <w:p w14:paraId="7649C394">
            <w:pPr>
              <w:adjustRightInd w:val="0"/>
              <w:snapToGrid w:val="0"/>
              <w:spacing w:line="300" w:lineRule="auto"/>
              <w:ind w:left="497" w:hanging="497" w:hangingChars="275"/>
              <w:jc w:val="center"/>
              <w:outlineLvl w:val="0"/>
              <w:rPr>
                <w:rFonts w:ascii="楷体" w:hAnsi="楷体" w:eastAsia="楷体"/>
                <w:b/>
                <w:bCs/>
                <w:sz w:val="18"/>
                <w:szCs w:val="18"/>
              </w:rPr>
            </w:pPr>
            <w:r>
              <w:rPr>
                <w:rFonts w:hint="eastAsia" w:ascii="楷体" w:hAnsi="楷体" w:eastAsia="楷体"/>
                <w:b/>
                <w:bCs/>
                <w:sz w:val="18"/>
                <w:szCs w:val="18"/>
              </w:rPr>
              <w:t>债权名称</w:t>
            </w:r>
          </w:p>
        </w:tc>
        <w:tc>
          <w:tcPr>
            <w:tcW w:w="241" w:type="pct"/>
            <w:vAlign w:val="center"/>
          </w:tcPr>
          <w:p w14:paraId="06E0F5E9">
            <w:pPr>
              <w:adjustRightInd w:val="0"/>
              <w:snapToGrid w:val="0"/>
              <w:spacing w:line="300" w:lineRule="auto"/>
              <w:jc w:val="center"/>
              <w:outlineLvl w:val="0"/>
              <w:rPr>
                <w:rFonts w:ascii="楷体" w:hAnsi="楷体" w:eastAsia="楷体"/>
                <w:b/>
                <w:bCs/>
                <w:sz w:val="18"/>
                <w:szCs w:val="18"/>
              </w:rPr>
            </w:pPr>
            <w:r>
              <w:rPr>
                <w:rFonts w:hint="eastAsia" w:ascii="楷体" w:hAnsi="楷体" w:eastAsia="楷体"/>
                <w:b/>
                <w:bCs/>
                <w:sz w:val="18"/>
                <w:szCs w:val="18"/>
              </w:rPr>
              <w:t>所在地</w:t>
            </w:r>
          </w:p>
        </w:tc>
        <w:tc>
          <w:tcPr>
            <w:tcW w:w="337" w:type="pct"/>
            <w:vAlign w:val="center"/>
          </w:tcPr>
          <w:p w14:paraId="7F46A9E8">
            <w:pPr>
              <w:adjustRightInd w:val="0"/>
              <w:snapToGrid w:val="0"/>
              <w:spacing w:line="300" w:lineRule="auto"/>
              <w:jc w:val="center"/>
              <w:outlineLvl w:val="0"/>
              <w:rPr>
                <w:rFonts w:ascii="楷体" w:hAnsi="楷体" w:eastAsia="楷体"/>
                <w:b/>
                <w:bCs/>
                <w:sz w:val="18"/>
                <w:szCs w:val="18"/>
              </w:rPr>
            </w:pPr>
            <w:r>
              <w:rPr>
                <w:rFonts w:hint="eastAsia" w:ascii="楷体" w:hAnsi="楷体" w:eastAsia="楷体"/>
                <w:b/>
                <w:bCs/>
                <w:sz w:val="18"/>
                <w:szCs w:val="18"/>
              </w:rPr>
              <w:t>本金</w:t>
            </w:r>
          </w:p>
        </w:tc>
        <w:tc>
          <w:tcPr>
            <w:tcW w:w="385" w:type="pct"/>
            <w:vAlign w:val="center"/>
          </w:tcPr>
          <w:p w14:paraId="54F1274F">
            <w:pPr>
              <w:adjustRightInd w:val="0"/>
              <w:snapToGrid w:val="0"/>
              <w:spacing w:line="300" w:lineRule="auto"/>
              <w:jc w:val="center"/>
              <w:outlineLvl w:val="0"/>
              <w:rPr>
                <w:rFonts w:ascii="楷体" w:hAnsi="楷体" w:eastAsia="楷体"/>
                <w:b/>
                <w:bCs/>
                <w:sz w:val="18"/>
                <w:szCs w:val="18"/>
              </w:rPr>
            </w:pPr>
            <w:r>
              <w:rPr>
                <w:rFonts w:hint="eastAsia" w:ascii="楷体" w:hAnsi="楷体" w:eastAsia="楷体"/>
                <w:b/>
                <w:bCs/>
                <w:sz w:val="18"/>
                <w:szCs w:val="18"/>
              </w:rPr>
              <w:t>利罚息</w:t>
            </w:r>
          </w:p>
        </w:tc>
        <w:tc>
          <w:tcPr>
            <w:tcW w:w="1757" w:type="pct"/>
            <w:vAlign w:val="center"/>
          </w:tcPr>
          <w:p w14:paraId="427DEF9F">
            <w:pPr>
              <w:adjustRightInd w:val="0"/>
              <w:snapToGrid w:val="0"/>
              <w:spacing w:line="300" w:lineRule="auto"/>
              <w:jc w:val="center"/>
              <w:outlineLvl w:val="0"/>
              <w:rPr>
                <w:rFonts w:ascii="楷体" w:hAnsi="楷体" w:eastAsia="楷体"/>
                <w:b/>
                <w:bCs/>
                <w:sz w:val="18"/>
                <w:szCs w:val="18"/>
              </w:rPr>
            </w:pPr>
            <w:r>
              <w:rPr>
                <w:rFonts w:hint="eastAsia" w:ascii="楷体" w:hAnsi="楷体" w:eastAsia="楷体"/>
                <w:b/>
                <w:bCs/>
                <w:sz w:val="18"/>
                <w:szCs w:val="18"/>
              </w:rPr>
              <w:t>担保情况</w:t>
            </w:r>
          </w:p>
        </w:tc>
        <w:tc>
          <w:tcPr>
            <w:tcW w:w="1755" w:type="pct"/>
            <w:vAlign w:val="center"/>
          </w:tcPr>
          <w:p w14:paraId="745E6C24">
            <w:pPr>
              <w:adjustRightInd w:val="0"/>
              <w:snapToGrid w:val="0"/>
              <w:spacing w:line="300" w:lineRule="auto"/>
              <w:jc w:val="center"/>
              <w:outlineLvl w:val="0"/>
              <w:rPr>
                <w:rFonts w:ascii="楷体" w:hAnsi="楷体" w:eastAsia="楷体"/>
                <w:b/>
                <w:bCs/>
                <w:sz w:val="18"/>
                <w:szCs w:val="18"/>
              </w:rPr>
            </w:pPr>
            <w:r>
              <w:rPr>
                <w:rFonts w:hint="eastAsia" w:ascii="楷体" w:hAnsi="楷体" w:eastAsia="楷体"/>
                <w:b/>
                <w:bCs/>
                <w:sz w:val="18"/>
                <w:szCs w:val="18"/>
              </w:rPr>
              <w:t>当前资产状况</w:t>
            </w:r>
          </w:p>
        </w:tc>
      </w:tr>
      <w:tr w14:paraId="6E67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vAlign w:val="center"/>
          </w:tcPr>
          <w:p w14:paraId="54C84BB6">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1</w:t>
            </w:r>
          </w:p>
        </w:tc>
        <w:tc>
          <w:tcPr>
            <w:tcW w:w="384" w:type="pct"/>
          </w:tcPr>
          <w:p w14:paraId="230D6720">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达州市泉伟杰商贸有限公司</w:t>
            </w:r>
          </w:p>
        </w:tc>
        <w:tc>
          <w:tcPr>
            <w:tcW w:w="241" w:type="pct"/>
          </w:tcPr>
          <w:p w14:paraId="543A0094">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达州市万源市</w:t>
            </w:r>
          </w:p>
        </w:tc>
        <w:tc>
          <w:tcPr>
            <w:tcW w:w="337" w:type="pct"/>
          </w:tcPr>
          <w:p w14:paraId="50351252">
            <w:pPr>
              <w:adjustRightInd w:val="0"/>
              <w:snapToGrid w:val="0"/>
              <w:spacing w:line="300" w:lineRule="auto"/>
              <w:outlineLvl w:val="0"/>
              <w:rPr>
                <w:rFonts w:ascii="楷体" w:hAnsi="楷体" w:eastAsia="楷体"/>
                <w:sz w:val="18"/>
                <w:szCs w:val="18"/>
              </w:rPr>
            </w:pPr>
            <w:r>
              <w:rPr>
                <w:rFonts w:ascii="楷体" w:hAnsi="楷体" w:eastAsia="楷体"/>
                <w:sz w:val="18"/>
                <w:szCs w:val="18"/>
              </w:rPr>
              <w:t xml:space="preserve">4400000.00 </w:t>
            </w:r>
          </w:p>
        </w:tc>
        <w:tc>
          <w:tcPr>
            <w:tcW w:w="385" w:type="pct"/>
          </w:tcPr>
          <w:p w14:paraId="1F0CA47D">
            <w:pPr>
              <w:adjustRightInd w:val="0"/>
              <w:snapToGrid w:val="0"/>
              <w:spacing w:line="300" w:lineRule="auto"/>
              <w:outlineLvl w:val="0"/>
              <w:rPr>
                <w:rFonts w:ascii="楷体" w:hAnsi="楷体" w:eastAsia="楷体"/>
                <w:sz w:val="18"/>
                <w:szCs w:val="18"/>
              </w:rPr>
            </w:pPr>
            <w:r>
              <w:rPr>
                <w:rFonts w:ascii="楷体" w:hAnsi="楷体" w:eastAsia="楷体"/>
                <w:sz w:val="18"/>
                <w:szCs w:val="18"/>
              </w:rPr>
              <w:t xml:space="preserve">4,188,029.05 </w:t>
            </w:r>
          </w:p>
        </w:tc>
        <w:tc>
          <w:tcPr>
            <w:tcW w:w="1757" w:type="pct"/>
          </w:tcPr>
          <w:p w14:paraId="430F1AF0">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周西林位于万源市旧院镇建新街凤凰小区十一处商业用房为其提供抵押担保，面积500.99平方米；（商品房买卖合同备案号：2018031500001【万源市旧院镇凤凰小区D3-4栋1-1】、002【D3-4栋1-2】、004【D3-4栋1-3】、005【D3-4栋1-4】、006【D3-4栋1-5】、012【D3-4栋1-6】、007【D3-4栋1-7】、008【D3-4栋1-8】、009【D3-4栋1-9】、010【D3-4栋1-10】、011【D2栋1-2】），大证号万国用（2014）第0732号。川（2018）万源市不动产证明第0001680号。万源市天封旅游开发有限公司(周露）、周露、周西林、周剑波、陈莉、刘仕珊提供保证担保</w:t>
            </w:r>
          </w:p>
        </w:tc>
        <w:tc>
          <w:tcPr>
            <w:tcW w:w="1755" w:type="pct"/>
          </w:tcPr>
          <w:p w14:paraId="358946A0">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执行中止</w:t>
            </w:r>
          </w:p>
        </w:tc>
      </w:tr>
      <w:tr w14:paraId="3BC8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vAlign w:val="center"/>
          </w:tcPr>
          <w:p w14:paraId="07833320">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2</w:t>
            </w:r>
          </w:p>
        </w:tc>
        <w:tc>
          <w:tcPr>
            <w:tcW w:w="384" w:type="pct"/>
          </w:tcPr>
          <w:p w14:paraId="4F4D0C8B">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宣汉县宏鑫隆贸易有限公司</w:t>
            </w:r>
          </w:p>
        </w:tc>
        <w:tc>
          <w:tcPr>
            <w:tcW w:w="241" w:type="pct"/>
          </w:tcPr>
          <w:p w14:paraId="59E719FE">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达州市宣汉县</w:t>
            </w:r>
          </w:p>
        </w:tc>
        <w:tc>
          <w:tcPr>
            <w:tcW w:w="337" w:type="pct"/>
          </w:tcPr>
          <w:p w14:paraId="11DD1BE3">
            <w:pPr>
              <w:adjustRightInd w:val="0"/>
              <w:snapToGrid w:val="0"/>
              <w:spacing w:line="300" w:lineRule="auto"/>
              <w:outlineLvl w:val="0"/>
              <w:rPr>
                <w:rFonts w:ascii="楷体" w:hAnsi="楷体" w:eastAsia="楷体"/>
                <w:sz w:val="18"/>
                <w:szCs w:val="18"/>
              </w:rPr>
            </w:pPr>
            <w:r>
              <w:rPr>
                <w:rFonts w:ascii="楷体" w:hAnsi="楷体" w:eastAsia="楷体"/>
                <w:sz w:val="18"/>
                <w:szCs w:val="18"/>
              </w:rPr>
              <w:t xml:space="preserve">8880000.00 </w:t>
            </w:r>
          </w:p>
        </w:tc>
        <w:tc>
          <w:tcPr>
            <w:tcW w:w="385" w:type="pct"/>
          </w:tcPr>
          <w:p w14:paraId="6A839B8B">
            <w:pPr>
              <w:adjustRightInd w:val="0"/>
              <w:snapToGrid w:val="0"/>
              <w:spacing w:line="300" w:lineRule="auto"/>
              <w:outlineLvl w:val="0"/>
              <w:rPr>
                <w:rFonts w:ascii="楷体" w:hAnsi="楷体" w:eastAsia="楷体"/>
                <w:sz w:val="18"/>
                <w:szCs w:val="18"/>
              </w:rPr>
            </w:pPr>
            <w:r>
              <w:rPr>
                <w:rFonts w:ascii="楷体" w:hAnsi="楷体" w:eastAsia="楷体"/>
                <w:sz w:val="18"/>
                <w:szCs w:val="18"/>
              </w:rPr>
              <w:t xml:space="preserve">6,343,137.13 </w:t>
            </w:r>
          </w:p>
        </w:tc>
        <w:tc>
          <w:tcPr>
            <w:tcW w:w="1757" w:type="pct"/>
          </w:tcPr>
          <w:p w14:paraId="55F319A8">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抵押担保：1.李进容位于宣汉县东乡镇宣胡路一帘春休闲庄B幢南至北3号及夹层商业用房，不动产证：川（2018）宣汉县不动产权第0003394号，面积93.92平米/23.39平米；4号及夹层，不动产证：川（2018）宣汉县不动产权第0003395号，面积93.92平米/23.39平米。2.李虹、张家炳位于宣汉县东乡镇巴人大道189号（原宣胡路永安村八社一帘春休闲山庄）B幢第二层、第四层、第三层，面积分别为590.64/147.02平米、232.5/57.89平米、232.495/57.89平米，不动产证分别为川（2016）宣汉县不动产权第0000019号、0000024号、0000025号；李虹、张家炳位于宣汉县东乡镇宣胡路一帘春休闲庄B幢南至北9号、10号、8号、7号、6号门市、夹层，面积均为93.92/23.39平米，不动产证分别为川（2016）宣汉县不动产权第0000011、0000014、0000016、0000017、0000020号。张家炳、李虹、李进容提供保证担保，承担连带偿还责任</w:t>
            </w:r>
          </w:p>
        </w:tc>
        <w:tc>
          <w:tcPr>
            <w:tcW w:w="1755" w:type="pct"/>
          </w:tcPr>
          <w:p w14:paraId="6A2C2D07">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2023年执行和解，2024年恢复执行</w:t>
            </w:r>
          </w:p>
        </w:tc>
      </w:tr>
      <w:tr w14:paraId="0AA7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vAlign w:val="center"/>
          </w:tcPr>
          <w:p w14:paraId="0E67CAEE">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3</w:t>
            </w:r>
          </w:p>
        </w:tc>
        <w:tc>
          <w:tcPr>
            <w:tcW w:w="384" w:type="pct"/>
          </w:tcPr>
          <w:p w14:paraId="3EE0BD64">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达州市中恒宏远房地产开发有限公司</w:t>
            </w:r>
          </w:p>
        </w:tc>
        <w:tc>
          <w:tcPr>
            <w:tcW w:w="241" w:type="pct"/>
          </w:tcPr>
          <w:p w14:paraId="4ECE7041">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达州市通川区</w:t>
            </w:r>
          </w:p>
        </w:tc>
        <w:tc>
          <w:tcPr>
            <w:tcW w:w="337" w:type="pct"/>
          </w:tcPr>
          <w:p w14:paraId="60B56007">
            <w:pPr>
              <w:adjustRightInd w:val="0"/>
              <w:snapToGrid w:val="0"/>
              <w:spacing w:line="300" w:lineRule="auto"/>
              <w:outlineLvl w:val="0"/>
              <w:rPr>
                <w:rFonts w:ascii="楷体" w:hAnsi="楷体" w:eastAsia="楷体"/>
                <w:sz w:val="18"/>
                <w:szCs w:val="18"/>
              </w:rPr>
            </w:pPr>
            <w:r>
              <w:rPr>
                <w:rFonts w:ascii="楷体" w:hAnsi="楷体" w:eastAsia="楷体"/>
                <w:sz w:val="18"/>
                <w:szCs w:val="18"/>
              </w:rPr>
              <w:t xml:space="preserve">38100000.00 </w:t>
            </w:r>
          </w:p>
        </w:tc>
        <w:tc>
          <w:tcPr>
            <w:tcW w:w="385" w:type="pct"/>
          </w:tcPr>
          <w:p w14:paraId="2931D465">
            <w:pPr>
              <w:adjustRightInd w:val="0"/>
              <w:snapToGrid w:val="0"/>
              <w:spacing w:line="300" w:lineRule="auto"/>
              <w:outlineLvl w:val="0"/>
              <w:rPr>
                <w:rFonts w:ascii="楷体" w:hAnsi="楷体" w:eastAsia="楷体"/>
                <w:sz w:val="18"/>
                <w:szCs w:val="18"/>
              </w:rPr>
            </w:pPr>
            <w:r>
              <w:rPr>
                <w:rFonts w:ascii="楷体" w:hAnsi="楷体" w:eastAsia="楷体"/>
                <w:sz w:val="18"/>
                <w:szCs w:val="18"/>
              </w:rPr>
              <w:t xml:space="preserve">9,816,543.85 </w:t>
            </w:r>
          </w:p>
        </w:tc>
        <w:tc>
          <w:tcPr>
            <w:tcW w:w="1757" w:type="pct"/>
          </w:tcPr>
          <w:p w14:paraId="77ADF716">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抵押担保：1.峰阁所有的位于达州市通川区朝阳西路178号教学综合楼主楼第二层商业用房，面积1208.93平方米； 2.贾茹兰所有位于通川区朝阳西路178号教学综合楼主楼13、14号商业用房，面积：107.94平方米；3.贾茹兰所有位于达州市通川区朝阳西路178号教学综合楼主楼底层15号一层商用房，面积239.02平方米；4.贾茹兰、张峰阁所有位于通川区朝阳西路178号教学综合楼主楼第8层1号商业用房，面积183.12㎡；5.贾茹兰、张峰阁所有位于通川区朝阳西路178号教学综合楼主楼第9层1号商业用房，面积183.12㎡；6.胡会萍所有位于通川区朝阳西路178号教学综合楼第4层商业用房，面积：1431.55平方米；7.胡会萍、蒲志强所有位于通川区朝阳西路178号教学综合楼主楼第5层商业用房，面积1431.55㎡。</w:t>
            </w:r>
          </w:p>
        </w:tc>
        <w:tc>
          <w:tcPr>
            <w:tcW w:w="1755" w:type="pct"/>
          </w:tcPr>
          <w:p w14:paraId="67ED035F">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执行中止</w:t>
            </w:r>
          </w:p>
        </w:tc>
      </w:tr>
      <w:tr w14:paraId="5AFF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4D8604B5">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4</w:t>
            </w:r>
          </w:p>
        </w:tc>
        <w:tc>
          <w:tcPr>
            <w:tcW w:w="384" w:type="pct"/>
          </w:tcPr>
          <w:p w14:paraId="296F753D">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达州市朝阳万顺医药连锁有限责任公司</w:t>
            </w:r>
          </w:p>
        </w:tc>
        <w:tc>
          <w:tcPr>
            <w:tcW w:w="241" w:type="pct"/>
          </w:tcPr>
          <w:p w14:paraId="33F164B3">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达州市通川区</w:t>
            </w:r>
          </w:p>
        </w:tc>
        <w:tc>
          <w:tcPr>
            <w:tcW w:w="337" w:type="pct"/>
          </w:tcPr>
          <w:p w14:paraId="4EB10211">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17000000.00 </w:t>
            </w:r>
          </w:p>
        </w:tc>
        <w:tc>
          <w:tcPr>
            <w:tcW w:w="385" w:type="pct"/>
          </w:tcPr>
          <w:p w14:paraId="77A9143F">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14,241,344.23 </w:t>
            </w:r>
          </w:p>
        </w:tc>
        <w:tc>
          <w:tcPr>
            <w:tcW w:w="1757" w:type="pct"/>
          </w:tcPr>
          <w:p w14:paraId="2C7ABF6E">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抵押担保：其中1000万抵押物：1.四川麦克福瑞制药有限公司位于达州市通川区磐石乡袁家沟村二组5号厂房，建筑面积1704.89㎡，房产证号：达州市房权证字第201409110361号，土地证：达州市国用（2014）第09856号；2、位于达州市通川区磐石乡袁家沟村二组（明袁路95-2号）工业用地，面积43779.30㎡，土地证：达州市国用（2014）第09869号。保证人：四川麦克福瑞制药有限公司（余勇）、陈琼芳、张钧、王承勋。其中700万抵押物：熊廷兵产权，位于通川区朝阳东路北巷2号1-3号三处商业用房，产权证号及建筑面积分别为：（1）房屋产权证：达州市房权证达字第201510210157号，土地证号：达州市国用（2014）第01527号，房屋建筑面积368.24㎡；（2）达州市房权证达字第201510210161号，土地证号：达州市国用（2014）第01528号，房屋建筑面积255.70㎡；（3）达州市房权证达字第201510210154号，土地证号：达州市国用（2014）第01529号，房屋建筑面积418.47㎡。保证人：熊廷兵、张钧</w:t>
            </w:r>
          </w:p>
        </w:tc>
        <w:tc>
          <w:tcPr>
            <w:tcW w:w="1755" w:type="pct"/>
          </w:tcPr>
          <w:p w14:paraId="7C0EB340">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终本执行</w:t>
            </w:r>
          </w:p>
        </w:tc>
      </w:tr>
      <w:tr w14:paraId="510E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1D6B62ED">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5</w:t>
            </w:r>
          </w:p>
        </w:tc>
        <w:tc>
          <w:tcPr>
            <w:tcW w:w="384" w:type="pct"/>
          </w:tcPr>
          <w:p w14:paraId="3BBED09A">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达州德仁康复医院</w:t>
            </w:r>
          </w:p>
        </w:tc>
        <w:tc>
          <w:tcPr>
            <w:tcW w:w="241" w:type="pct"/>
          </w:tcPr>
          <w:p w14:paraId="225567C2">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达州市万源市</w:t>
            </w:r>
          </w:p>
        </w:tc>
        <w:tc>
          <w:tcPr>
            <w:tcW w:w="337" w:type="pct"/>
          </w:tcPr>
          <w:p w14:paraId="417A3FB7">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25583208.86 </w:t>
            </w:r>
          </w:p>
        </w:tc>
        <w:tc>
          <w:tcPr>
            <w:tcW w:w="385" w:type="pct"/>
          </w:tcPr>
          <w:p w14:paraId="09EB18D7">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10,580,452.40 </w:t>
            </w:r>
          </w:p>
        </w:tc>
        <w:tc>
          <w:tcPr>
            <w:tcW w:w="1757" w:type="pct"/>
          </w:tcPr>
          <w:p w14:paraId="1B249CEA">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抵押担保：万源市远东实业有限公司所有位于万源市茶垭乡李家沟村古东关1层商用房，面积共计13400.81平方米。万源房权证监字第201500107号、201491246号、201491247号、201491249号、201491266号、201491267号。万源市远东实业有限公司、余兴全、贾维、杨江、钟叶均、于瀛、邓光红、牟慧保证担保。</w:t>
            </w:r>
          </w:p>
        </w:tc>
        <w:tc>
          <w:tcPr>
            <w:tcW w:w="1755" w:type="pct"/>
          </w:tcPr>
          <w:p w14:paraId="66A4884F">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执行流拍</w:t>
            </w:r>
          </w:p>
        </w:tc>
      </w:tr>
      <w:tr w14:paraId="4F32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27F7F377">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6</w:t>
            </w:r>
          </w:p>
        </w:tc>
        <w:tc>
          <w:tcPr>
            <w:tcW w:w="384" w:type="pct"/>
          </w:tcPr>
          <w:p w14:paraId="6E43EE80">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四川武青建筑劳务有限公司</w:t>
            </w:r>
          </w:p>
        </w:tc>
        <w:tc>
          <w:tcPr>
            <w:tcW w:w="241" w:type="pct"/>
          </w:tcPr>
          <w:p w14:paraId="3F218F46">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成都市、达州市</w:t>
            </w:r>
          </w:p>
        </w:tc>
        <w:tc>
          <w:tcPr>
            <w:tcW w:w="337" w:type="pct"/>
          </w:tcPr>
          <w:p w14:paraId="05824421">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4710000.00 </w:t>
            </w:r>
          </w:p>
        </w:tc>
        <w:tc>
          <w:tcPr>
            <w:tcW w:w="385" w:type="pct"/>
          </w:tcPr>
          <w:p w14:paraId="717C5557">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2,365,555.00 </w:t>
            </w:r>
          </w:p>
        </w:tc>
        <w:tc>
          <w:tcPr>
            <w:tcW w:w="1757" w:type="pct"/>
          </w:tcPr>
          <w:p w14:paraId="49E2E304">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抵押担保：ZR280C-1型旋挖钻机，XGC130-I型履带起重机，KGC85型履带起重机，XR400E型旋挖钻机，ZR220A型旋挖钻机；达州市中远融资担保有限公司，罗斌，向姣，罗裕礼，鲜其容</w:t>
            </w:r>
          </w:p>
        </w:tc>
        <w:tc>
          <w:tcPr>
            <w:tcW w:w="1755" w:type="pct"/>
          </w:tcPr>
          <w:p w14:paraId="202BE666">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未诉</w:t>
            </w:r>
          </w:p>
        </w:tc>
      </w:tr>
      <w:tr w14:paraId="18C9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62F05E72">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7</w:t>
            </w:r>
          </w:p>
        </w:tc>
        <w:tc>
          <w:tcPr>
            <w:tcW w:w="384" w:type="pct"/>
          </w:tcPr>
          <w:p w14:paraId="3A641C86">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达州市元鑫建材有限责任公司</w:t>
            </w:r>
          </w:p>
        </w:tc>
        <w:tc>
          <w:tcPr>
            <w:tcW w:w="241" w:type="pct"/>
          </w:tcPr>
          <w:p w14:paraId="2DA703BE">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达州市达川区、通川区</w:t>
            </w:r>
          </w:p>
        </w:tc>
        <w:tc>
          <w:tcPr>
            <w:tcW w:w="337" w:type="pct"/>
          </w:tcPr>
          <w:p w14:paraId="7B47594D">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39000000.00 </w:t>
            </w:r>
          </w:p>
        </w:tc>
        <w:tc>
          <w:tcPr>
            <w:tcW w:w="385" w:type="pct"/>
          </w:tcPr>
          <w:p w14:paraId="7B39D189">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14,706,593.16 </w:t>
            </w:r>
          </w:p>
        </w:tc>
        <w:tc>
          <w:tcPr>
            <w:tcW w:w="1757" w:type="pct"/>
          </w:tcPr>
          <w:p w14:paraId="74286AA1">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抵押担保：1.李兴建、何永芬名下位于达州市通川区翠屏路115号2幢5号，面积127㎡；2.李兴建、何永芬名下位于通川区西外金南社区（旺角城）C栋1层1号，面积45㎡；C栋1层2号，面积110.55㎡；C栋1层3号，面积64.86㎡；C栋1层4号，面积39.83㎡；C栋1层5号，面积28.45㎡；C栋1层6号，面积39.83㎡；C栋1层7号，面积76.38㎡；C栋2楼，面积731.58㎡；A2、B、C栋负一层，面积3151.91㎡；C栋21/22楼4号，面积263.92㎡；C幢1层8号，面积110.55㎡；A2栋2楼，面积480.78㎡；A2、C栋地下层夹层，面积178.53㎡；A2栋1层7号，面积16.27㎡；C栋1层附1号，面积24.65㎡；3.李兴建、何永芬名下位于达县南外镇东环南路93号（老干局）主楼1-8号，面积121.751㎡；达县南外镇东环南路117号（老干局）主楼3-1号，面积489.71㎡；达县南外镇东环南路117号（老干局）主楼2-1号，面积 489.71㎡；达县南外镇东环南路117号（老干局）附楼1-11号门市及附楼夹层，面积66.14㎡；达县南外镇东环南路117号（老干局）附楼负1-2号，面积162.92㎡；达县南外镇东环南路129号（老干局）附楼1-14号门市、1-14号附楼夹层，面积67.08㎡；4.邓应周、何永珍所有位于达县南外镇东环南路117号2-10-1住房，面积201.55㎡。保证人：李兴建、何永芬、邓应周、何永珍、唐中胜、王道珍、达州市立高商贸有限公司、何永红、射洪县聚发农业有限公司、李兴建、何永芬、李长峰、甘佳灵</w:t>
            </w:r>
          </w:p>
        </w:tc>
        <w:tc>
          <w:tcPr>
            <w:tcW w:w="1755" w:type="pct"/>
          </w:tcPr>
          <w:p w14:paraId="4D8F980D">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取得胜诉判决</w:t>
            </w:r>
          </w:p>
        </w:tc>
      </w:tr>
      <w:tr w14:paraId="3E0C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72BB1A3D">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8</w:t>
            </w:r>
          </w:p>
        </w:tc>
        <w:tc>
          <w:tcPr>
            <w:tcW w:w="384" w:type="pct"/>
          </w:tcPr>
          <w:p w14:paraId="0EEA9E29">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四川省亿通商务网络服务有限公司</w:t>
            </w:r>
          </w:p>
        </w:tc>
        <w:tc>
          <w:tcPr>
            <w:tcW w:w="241" w:type="pct"/>
          </w:tcPr>
          <w:p w14:paraId="59C23215">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达州市高新区</w:t>
            </w:r>
          </w:p>
        </w:tc>
        <w:tc>
          <w:tcPr>
            <w:tcW w:w="337" w:type="pct"/>
          </w:tcPr>
          <w:p w14:paraId="0A082966">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37000000.00 </w:t>
            </w:r>
          </w:p>
        </w:tc>
        <w:tc>
          <w:tcPr>
            <w:tcW w:w="385" w:type="pct"/>
          </w:tcPr>
          <w:p w14:paraId="7628D264">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11,752,991.18 </w:t>
            </w:r>
          </w:p>
        </w:tc>
        <w:tc>
          <w:tcPr>
            <w:tcW w:w="1757" w:type="pct"/>
          </w:tcPr>
          <w:p w14:paraId="171C4A34">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抵押担保：1.何三军、吕小兰用位于：达县河市镇后街C1#-C7#、C13#-C16#，建筑面积446.511㎡提供抵押担保，担保金额300万元，不动产登记证明：川（2018）达川区不动产证明第0020061号。2.何三军、吕小兰用位于：达县河市镇后街（B1-B19号，建筑面积775.021㎡；达县河市镇后街（D1-D22号，建筑面积680.50㎡;达县河市镇后街（A3-A9、A11-A13、A15-A16号）,建筑面积484.89㎡提供抵押担保，担保金额1600万元，不动产登记证明：川（2018）达川区不动产证明第0020059号。3.何三军、吕小兰位于：通川区西外金南社区（旺角城）A1栋2楼1号，面积899.09㎡；D栋2楼1号，建筑面积889.21㎡；A1栋负一层（车库），建筑面积1588.84㎡提供抵押担保，担保金额1900万元，不动产登记证明：川（2018）达州市不动产证明第0028565号。面积共计5764.251㎡。保证人：何三军、吕小兰、郭德贵、黄爱华、向娟、射洪县聚发农业有限公司、达州市通川区鹏海商贸有限公司</w:t>
            </w:r>
          </w:p>
        </w:tc>
        <w:tc>
          <w:tcPr>
            <w:tcW w:w="1755" w:type="pct"/>
          </w:tcPr>
          <w:p w14:paraId="33577ABE">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取得胜诉判决</w:t>
            </w:r>
          </w:p>
        </w:tc>
      </w:tr>
      <w:tr w14:paraId="2AF1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04883632">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9</w:t>
            </w:r>
          </w:p>
        </w:tc>
        <w:tc>
          <w:tcPr>
            <w:tcW w:w="384" w:type="pct"/>
          </w:tcPr>
          <w:p w14:paraId="7893D4CF">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达州市德佳建筑工程有限公司</w:t>
            </w:r>
          </w:p>
        </w:tc>
        <w:tc>
          <w:tcPr>
            <w:tcW w:w="241" w:type="pct"/>
          </w:tcPr>
          <w:p w14:paraId="5A57EF53">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达州市达川区</w:t>
            </w:r>
          </w:p>
        </w:tc>
        <w:tc>
          <w:tcPr>
            <w:tcW w:w="337" w:type="pct"/>
          </w:tcPr>
          <w:p w14:paraId="7A85332B">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17695088.80 </w:t>
            </w:r>
          </w:p>
        </w:tc>
        <w:tc>
          <w:tcPr>
            <w:tcW w:w="385" w:type="pct"/>
          </w:tcPr>
          <w:p w14:paraId="6308E7AA">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15,935,440.84 </w:t>
            </w:r>
          </w:p>
        </w:tc>
        <w:tc>
          <w:tcPr>
            <w:tcW w:w="1757" w:type="pct"/>
          </w:tcPr>
          <w:p w14:paraId="67AC4616">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抵押担保：达州市达川区三里坪街道兴盛东街555号中迪国际地下车库负二层车库，建筑面积9692.81㎡、达川区房权证达字第201602160035号</w:t>
            </w:r>
          </w:p>
        </w:tc>
        <w:tc>
          <w:tcPr>
            <w:tcW w:w="1755" w:type="pct"/>
          </w:tcPr>
          <w:p w14:paraId="5709B852">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终本执行</w:t>
            </w:r>
          </w:p>
        </w:tc>
      </w:tr>
      <w:tr w14:paraId="4272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7B5C50DD">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10</w:t>
            </w:r>
          </w:p>
        </w:tc>
        <w:tc>
          <w:tcPr>
            <w:tcW w:w="384" w:type="pct"/>
          </w:tcPr>
          <w:p w14:paraId="1F971983">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达县盛世物业有限公司</w:t>
            </w:r>
          </w:p>
        </w:tc>
        <w:tc>
          <w:tcPr>
            <w:tcW w:w="241" w:type="pct"/>
          </w:tcPr>
          <w:p w14:paraId="02BA675F">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达州市达川区</w:t>
            </w:r>
          </w:p>
        </w:tc>
        <w:tc>
          <w:tcPr>
            <w:tcW w:w="337" w:type="pct"/>
          </w:tcPr>
          <w:p w14:paraId="441C6481">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7477874.00 </w:t>
            </w:r>
          </w:p>
        </w:tc>
        <w:tc>
          <w:tcPr>
            <w:tcW w:w="385" w:type="pct"/>
          </w:tcPr>
          <w:p w14:paraId="10487D2A">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8,923,321.72 </w:t>
            </w:r>
          </w:p>
        </w:tc>
        <w:tc>
          <w:tcPr>
            <w:tcW w:w="1757" w:type="pct"/>
          </w:tcPr>
          <w:p w14:paraId="47F665A3">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抵押担保：①赖兴丽单独所有的位于达川区翠屏街道福安巷333号盛世小区C2栋1、2层，面积441.99平米、766.98平方米；②赖兴旺单独所有的位于福安巷219、221、223、225、227、229、241、243、245号（盛世小区C2栋夫1层1-14号），面积：391.54平方米。保证人：赖郎廷、赖兴丽、赖兴旺</w:t>
            </w:r>
          </w:p>
        </w:tc>
        <w:tc>
          <w:tcPr>
            <w:tcW w:w="1755" w:type="pct"/>
          </w:tcPr>
          <w:p w14:paraId="52A5EC97">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终本执行</w:t>
            </w:r>
          </w:p>
        </w:tc>
      </w:tr>
      <w:tr w14:paraId="772D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32A35C98">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11</w:t>
            </w:r>
          </w:p>
        </w:tc>
        <w:tc>
          <w:tcPr>
            <w:tcW w:w="384" w:type="pct"/>
          </w:tcPr>
          <w:p w14:paraId="402414DA">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射洪县聚发农业有限公司</w:t>
            </w:r>
          </w:p>
        </w:tc>
        <w:tc>
          <w:tcPr>
            <w:tcW w:w="241" w:type="pct"/>
          </w:tcPr>
          <w:p w14:paraId="4340BCAC">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遂宁市射洪县</w:t>
            </w:r>
          </w:p>
        </w:tc>
        <w:tc>
          <w:tcPr>
            <w:tcW w:w="337" w:type="pct"/>
          </w:tcPr>
          <w:p w14:paraId="2592E548">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33000000.00 </w:t>
            </w:r>
          </w:p>
        </w:tc>
        <w:tc>
          <w:tcPr>
            <w:tcW w:w="385" w:type="pct"/>
          </w:tcPr>
          <w:p w14:paraId="0F72C9FC">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15,548,468.75 </w:t>
            </w:r>
          </w:p>
        </w:tc>
        <w:tc>
          <w:tcPr>
            <w:tcW w:w="1757" w:type="pct"/>
          </w:tcPr>
          <w:p w14:paraId="41BB7F52">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抵押担保：1.射洪县沱牌镇凤凰村四、五社商住用地（土地证号为：射国用（2016）第03423号）,使用权面积：7387.9㎡，不动产登记证明：川（2019）射洪县不动产证明第0008499号；2.射洪县沱牌镇凤凰村四、五社商住用地（土地证号为：射国用（2016）第03422号）,使用权面积：4884.45㎡，不动产登记证明：川（2019）射洪县不动产证明第0008507号；3.射洪县沱牌镇中兴街万锦广场在建工程1915.71平方米（36个商业门市），不动产登记证明：川（2019）射洪县不动产证明第0008503号。李兴建、何永芬、何三军、吕小兰保证担保</w:t>
            </w:r>
          </w:p>
        </w:tc>
        <w:tc>
          <w:tcPr>
            <w:tcW w:w="1755" w:type="pct"/>
          </w:tcPr>
          <w:p w14:paraId="51103E29">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取得胜诉判决</w:t>
            </w:r>
          </w:p>
        </w:tc>
      </w:tr>
      <w:tr w14:paraId="00EA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29CB20A4">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12</w:t>
            </w:r>
          </w:p>
        </w:tc>
        <w:tc>
          <w:tcPr>
            <w:tcW w:w="384" w:type="pct"/>
          </w:tcPr>
          <w:p w14:paraId="70AFFDD4">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达州市通川区华阳商贸有限公司</w:t>
            </w:r>
          </w:p>
        </w:tc>
        <w:tc>
          <w:tcPr>
            <w:tcW w:w="241" w:type="pct"/>
          </w:tcPr>
          <w:p w14:paraId="2AA9AE72">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达州市通川区</w:t>
            </w:r>
          </w:p>
        </w:tc>
        <w:tc>
          <w:tcPr>
            <w:tcW w:w="337" w:type="pct"/>
          </w:tcPr>
          <w:p w14:paraId="4A960BC7">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20566993.94 </w:t>
            </w:r>
          </w:p>
        </w:tc>
        <w:tc>
          <w:tcPr>
            <w:tcW w:w="385" w:type="pct"/>
          </w:tcPr>
          <w:p w14:paraId="794EAC41">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12,148,356.25 </w:t>
            </w:r>
          </w:p>
        </w:tc>
        <w:tc>
          <w:tcPr>
            <w:tcW w:w="1757" w:type="pct"/>
          </w:tcPr>
          <w:p w14:paraId="5A332715">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抵押担保：1.陈玲拥有位于通川区红旗路74号(原红旗路268号华洋商厦第一层北侧)商业用房，建筑面积151.94平方米，达州市房权证私权字第00078813号，达州市国用（2008）第07302号；2.陈玲拥有位于通川区红旗路268号华洋商厦第一层北侧商业用房，建筑面积573.42平方米，达州市房权证私权字第00078046号，达州市国用（2008）07301号。保证人：陈玲、高定豪、达州市鑫豪成商贸有限公司(王发银）、达州市同高实业有限公司（董大山）</w:t>
            </w:r>
          </w:p>
        </w:tc>
        <w:tc>
          <w:tcPr>
            <w:tcW w:w="1755" w:type="pct"/>
          </w:tcPr>
          <w:p w14:paraId="776F3900">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终本执行</w:t>
            </w:r>
          </w:p>
        </w:tc>
      </w:tr>
      <w:tr w14:paraId="5774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475BBBE2">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13</w:t>
            </w:r>
          </w:p>
        </w:tc>
        <w:tc>
          <w:tcPr>
            <w:tcW w:w="384" w:type="pct"/>
          </w:tcPr>
          <w:p w14:paraId="25439749">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中核三鑫建设工程有限公司</w:t>
            </w:r>
          </w:p>
        </w:tc>
        <w:tc>
          <w:tcPr>
            <w:tcW w:w="241" w:type="pct"/>
          </w:tcPr>
          <w:p w14:paraId="2D0F83B8">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重庆市南川区</w:t>
            </w:r>
          </w:p>
        </w:tc>
        <w:tc>
          <w:tcPr>
            <w:tcW w:w="337" w:type="pct"/>
          </w:tcPr>
          <w:p w14:paraId="473CE629">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13986672.38 </w:t>
            </w:r>
          </w:p>
        </w:tc>
        <w:tc>
          <w:tcPr>
            <w:tcW w:w="385" w:type="pct"/>
          </w:tcPr>
          <w:p w14:paraId="06569534">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8,865,028.55 </w:t>
            </w:r>
          </w:p>
        </w:tc>
        <w:tc>
          <w:tcPr>
            <w:tcW w:w="1757" w:type="pct"/>
          </w:tcPr>
          <w:p w14:paraId="42A6AB5B">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抵押担保：其中1334万抵押物：重庆同邦房地产开发有限公司位于重庆市南川区南城街道办事处金佛大道185号“同邦国际城”地下车库，建筑面积3681.84㎡。其中80万质押物：达州市国土资源局通川分局下差工程款600万元提供权利质押担保，并在中国人民银行征信中心办理了应收账款质押登记。其中1334万保证人：重庆同邦房地产开发有限公司、四川三源房地产开发有限公司、四川通和商贸有限公司、成都敏坡商贸有限公司、四川海棠酒店管理有限公司、张琳琳、王永辉；其中80万保证人：刘德标、蒲静、王永辉、张琳琳提供保证担保，承担连带保证责任</w:t>
            </w:r>
          </w:p>
        </w:tc>
        <w:tc>
          <w:tcPr>
            <w:tcW w:w="1755" w:type="pct"/>
          </w:tcPr>
          <w:p w14:paraId="0F089622">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终本执行</w:t>
            </w:r>
          </w:p>
        </w:tc>
      </w:tr>
      <w:tr w14:paraId="2E28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221BE8E1">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14</w:t>
            </w:r>
          </w:p>
        </w:tc>
        <w:tc>
          <w:tcPr>
            <w:tcW w:w="384" w:type="pct"/>
          </w:tcPr>
          <w:p w14:paraId="23C1D77B">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达州市星智商贸有限公司</w:t>
            </w:r>
          </w:p>
        </w:tc>
        <w:tc>
          <w:tcPr>
            <w:tcW w:w="241" w:type="pct"/>
          </w:tcPr>
          <w:p w14:paraId="5E74580F">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成都市青羊区、武侯区</w:t>
            </w:r>
          </w:p>
        </w:tc>
        <w:tc>
          <w:tcPr>
            <w:tcW w:w="337" w:type="pct"/>
          </w:tcPr>
          <w:p w14:paraId="30631124">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9856500.00 </w:t>
            </w:r>
          </w:p>
        </w:tc>
        <w:tc>
          <w:tcPr>
            <w:tcW w:w="385" w:type="pct"/>
          </w:tcPr>
          <w:p w14:paraId="639555D0">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3,197,299.21 </w:t>
            </w:r>
          </w:p>
        </w:tc>
        <w:tc>
          <w:tcPr>
            <w:tcW w:w="1757" w:type="pct"/>
          </w:tcPr>
          <w:p w14:paraId="7309EE31">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抵押担保：1.成都市青羊区光华南三路88号1栋2层2号商业用房，产权证号：成房权证监证字第3997040号，国土证号：青国用（2016）第12257号，建筑面积584.43㎡；2.成都市武侯区高阳路38号1栋1层116号商业用房，产权证号：成房权证监证字第4180816号、武国用（2015）第40572号，建筑面积107.32㎡。陈晖、马志余为该笔贷款提供保证担保</w:t>
            </w:r>
          </w:p>
        </w:tc>
        <w:tc>
          <w:tcPr>
            <w:tcW w:w="1755" w:type="pct"/>
          </w:tcPr>
          <w:p w14:paraId="5F03C1A3">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终本执行</w:t>
            </w:r>
          </w:p>
        </w:tc>
      </w:tr>
      <w:tr w14:paraId="7D24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634A8870">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15</w:t>
            </w:r>
          </w:p>
        </w:tc>
        <w:tc>
          <w:tcPr>
            <w:tcW w:w="384" w:type="pct"/>
          </w:tcPr>
          <w:p w14:paraId="3D612BF2">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达州市天然植物药业有限公司</w:t>
            </w:r>
          </w:p>
        </w:tc>
        <w:tc>
          <w:tcPr>
            <w:tcW w:w="241" w:type="pct"/>
          </w:tcPr>
          <w:p w14:paraId="53DFB509">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达州市通川区</w:t>
            </w:r>
          </w:p>
        </w:tc>
        <w:tc>
          <w:tcPr>
            <w:tcW w:w="337" w:type="pct"/>
          </w:tcPr>
          <w:p w14:paraId="4830F71B">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15000000.00 </w:t>
            </w:r>
          </w:p>
        </w:tc>
        <w:tc>
          <w:tcPr>
            <w:tcW w:w="385" w:type="pct"/>
          </w:tcPr>
          <w:p w14:paraId="1984A2AC">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2,683,121.44 </w:t>
            </w:r>
          </w:p>
        </w:tc>
        <w:tc>
          <w:tcPr>
            <w:tcW w:w="1757" w:type="pct"/>
          </w:tcPr>
          <w:p w14:paraId="10616E7D">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抵押担保：1.达州市盘石乡袁家沟三村的厂房，面积7667.57㎡；2.盘石乡袁家沟村五组的土地使用权，面积35650.56㎡；3.位于达州市磐石镇袁家沟的设施设备，包括烘干机、切药机、多功能提取罐、彩钢棚、晒药架、锅炉、空调机组、塔式重蒸馏水机、色谱仪、药品稳定实验箱、洗瓶机、热风循环烘箱等。姚和章、蒲银秀（姚和章之妻）、姚莉（姚和章之女）、姚静（姚和章之女）、刘在生（姚静之夫）、姚弘（姚和章之儿）、梁舜欣（姚弘之妻，、姚明（姚和章之儿）承担连带保证担保责任。</w:t>
            </w:r>
          </w:p>
        </w:tc>
        <w:tc>
          <w:tcPr>
            <w:tcW w:w="1755" w:type="pct"/>
          </w:tcPr>
          <w:p w14:paraId="04D86843">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执行中</w:t>
            </w:r>
          </w:p>
        </w:tc>
      </w:tr>
      <w:tr w14:paraId="1EE2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7CF4F72E">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16</w:t>
            </w:r>
          </w:p>
        </w:tc>
        <w:tc>
          <w:tcPr>
            <w:tcW w:w="384" w:type="pct"/>
          </w:tcPr>
          <w:p w14:paraId="5CBBA54F">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达州市达川区禾安中药材种植有限公司</w:t>
            </w:r>
          </w:p>
        </w:tc>
        <w:tc>
          <w:tcPr>
            <w:tcW w:w="241" w:type="pct"/>
          </w:tcPr>
          <w:p w14:paraId="25C19C72">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达州市通川区</w:t>
            </w:r>
          </w:p>
        </w:tc>
        <w:tc>
          <w:tcPr>
            <w:tcW w:w="337" w:type="pct"/>
          </w:tcPr>
          <w:p w14:paraId="0F9B859A">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2900000.00 </w:t>
            </w:r>
          </w:p>
        </w:tc>
        <w:tc>
          <w:tcPr>
            <w:tcW w:w="385" w:type="pct"/>
          </w:tcPr>
          <w:p w14:paraId="5C6123A9">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631,935.00 </w:t>
            </w:r>
          </w:p>
        </w:tc>
        <w:tc>
          <w:tcPr>
            <w:tcW w:w="1757" w:type="pct"/>
          </w:tcPr>
          <w:p w14:paraId="15A1E583">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抵押担保：1.达州市盘石乡袁家沟三村的厂房，面积7667.57㎡，剩余价值顺位抵押；2.盘石乡袁家沟村五组的土地使用权，面积35650.56㎡，剩余价值顺位抵押。达州市天然植物药业有限公司、姚和章、姚莉（姚和章之女）、姚静（姚和章之女）、姚明（姚和章之子）、姚弘（姚和章之子）承担连带保证担保责任</w:t>
            </w:r>
          </w:p>
        </w:tc>
        <w:tc>
          <w:tcPr>
            <w:tcW w:w="1755" w:type="pct"/>
          </w:tcPr>
          <w:p w14:paraId="7EEE8144">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执行中</w:t>
            </w:r>
          </w:p>
        </w:tc>
      </w:tr>
      <w:tr w14:paraId="3472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7AB8D5E1">
            <w:pPr>
              <w:adjustRightInd w:val="0"/>
              <w:snapToGrid w:val="0"/>
              <w:spacing w:line="300" w:lineRule="auto"/>
              <w:jc w:val="center"/>
              <w:outlineLvl w:val="0"/>
              <w:rPr>
                <w:rFonts w:hint="eastAsia" w:ascii="楷体" w:hAnsi="楷体" w:eastAsia="楷体"/>
                <w:sz w:val="18"/>
                <w:szCs w:val="18"/>
                <w:lang w:val="en-US" w:eastAsia="zh-CN"/>
              </w:rPr>
            </w:pPr>
            <w:r>
              <w:rPr>
                <w:rFonts w:ascii="楷体" w:hAnsi="楷体" w:eastAsia="楷体"/>
                <w:sz w:val="18"/>
                <w:szCs w:val="18"/>
              </w:rPr>
              <w:t>1</w:t>
            </w:r>
            <w:r>
              <w:rPr>
                <w:rFonts w:hint="eastAsia" w:ascii="楷体" w:hAnsi="楷体" w:eastAsia="楷体"/>
                <w:sz w:val="18"/>
                <w:szCs w:val="18"/>
                <w:lang w:val="en-US" w:eastAsia="zh-CN"/>
              </w:rPr>
              <w:t>7</w:t>
            </w:r>
          </w:p>
        </w:tc>
        <w:tc>
          <w:tcPr>
            <w:tcW w:w="384" w:type="pct"/>
          </w:tcPr>
          <w:p w14:paraId="1FF21559">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成都华葳文化旅游开发有限公司</w:t>
            </w:r>
          </w:p>
        </w:tc>
        <w:tc>
          <w:tcPr>
            <w:tcW w:w="241" w:type="pct"/>
          </w:tcPr>
          <w:p w14:paraId="2529AD82">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达州市万源市</w:t>
            </w:r>
          </w:p>
        </w:tc>
        <w:tc>
          <w:tcPr>
            <w:tcW w:w="337" w:type="pct"/>
          </w:tcPr>
          <w:p w14:paraId="4AF21437">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4000000.00 </w:t>
            </w:r>
          </w:p>
        </w:tc>
        <w:tc>
          <w:tcPr>
            <w:tcW w:w="385" w:type="pct"/>
          </w:tcPr>
          <w:p w14:paraId="43FE6077">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2,100,508.01 </w:t>
            </w:r>
          </w:p>
        </w:tc>
        <w:tc>
          <w:tcPr>
            <w:tcW w:w="1757" w:type="pct"/>
          </w:tcPr>
          <w:p w14:paraId="10C790F2">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1、成都恒宇实业有限公司提供连带责任保证担保；2、熊卫东、郑茂夫妇；熊涛、廖蓉夫妇；何武军、王容夫妇；黄艳、李茂丞夫妇提供连带责任保证担保</w:t>
            </w:r>
          </w:p>
        </w:tc>
        <w:tc>
          <w:tcPr>
            <w:tcW w:w="1755" w:type="pct"/>
          </w:tcPr>
          <w:p w14:paraId="531053FA">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终本执行</w:t>
            </w:r>
          </w:p>
        </w:tc>
      </w:tr>
      <w:tr w14:paraId="4FFE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2822EC06">
            <w:pPr>
              <w:adjustRightInd w:val="0"/>
              <w:snapToGrid w:val="0"/>
              <w:spacing w:line="300" w:lineRule="auto"/>
              <w:jc w:val="center"/>
              <w:outlineLvl w:val="0"/>
              <w:rPr>
                <w:rFonts w:hint="eastAsia" w:ascii="楷体" w:hAnsi="楷体" w:eastAsia="楷体"/>
                <w:sz w:val="18"/>
                <w:szCs w:val="18"/>
                <w:lang w:val="en-US" w:eastAsia="zh-CN"/>
              </w:rPr>
            </w:pPr>
            <w:r>
              <w:rPr>
                <w:rFonts w:ascii="楷体" w:hAnsi="楷体" w:eastAsia="楷体"/>
                <w:sz w:val="18"/>
                <w:szCs w:val="18"/>
              </w:rPr>
              <w:t>1</w:t>
            </w:r>
            <w:r>
              <w:rPr>
                <w:rFonts w:hint="eastAsia" w:ascii="楷体" w:hAnsi="楷体" w:eastAsia="楷体"/>
                <w:sz w:val="18"/>
                <w:szCs w:val="18"/>
                <w:lang w:val="en-US" w:eastAsia="zh-CN"/>
              </w:rPr>
              <w:t>8</w:t>
            </w:r>
          </w:p>
        </w:tc>
        <w:tc>
          <w:tcPr>
            <w:tcW w:w="384" w:type="pct"/>
          </w:tcPr>
          <w:p w14:paraId="5EC5629E">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成都逸凡实业有限公司</w:t>
            </w:r>
          </w:p>
        </w:tc>
        <w:tc>
          <w:tcPr>
            <w:tcW w:w="241" w:type="pct"/>
          </w:tcPr>
          <w:p w14:paraId="55652954">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达州市宣汉县</w:t>
            </w:r>
          </w:p>
        </w:tc>
        <w:tc>
          <w:tcPr>
            <w:tcW w:w="337" w:type="pct"/>
          </w:tcPr>
          <w:p w14:paraId="24EF64DE">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4300000.00 </w:t>
            </w:r>
          </w:p>
        </w:tc>
        <w:tc>
          <w:tcPr>
            <w:tcW w:w="385" w:type="pct"/>
          </w:tcPr>
          <w:p w14:paraId="0EFD5AF7">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1,091,930.84 </w:t>
            </w:r>
          </w:p>
        </w:tc>
        <w:tc>
          <w:tcPr>
            <w:tcW w:w="1757" w:type="pct"/>
          </w:tcPr>
          <w:p w14:paraId="28975FB1">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达州川峰伟成商贸有限公司、熊卫东、郑茂、王强、熊鹂君提供担保，承担连带保证责任</w:t>
            </w:r>
          </w:p>
        </w:tc>
        <w:tc>
          <w:tcPr>
            <w:tcW w:w="1755" w:type="pct"/>
          </w:tcPr>
          <w:p w14:paraId="523ED859">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未诉</w:t>
            </w:r>
          </w:p>
        </w:tc>
      </w:tr>
      <w:tr w14:paraId="11E0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7B26E7E1">
            <w:pPr>
              <w:adjustRightInd w:val="0"/>
              <w:snapToGrid w:val="0"/>
              <w:spacing w:line="300" w:lineRule="auto"/>
              <w:jc w:val="center"/>
              <w:outlineLvl w:val="0"/>
              <w:rPr>
                <w:rFonts w:hint="default" w:ascii="楷体" w:hAnsi="楷体" w:eastAsia="楷体"/>
                <w:sz w:val="18"/>
                <w:szCs w:val="18"/>
                <w:lang w:val="en-US" w:eastAsia="zh-CN"/>
              </w:rPr>
            </w:pPr>
            <w:r>
              <w:rPr>
                <w:rFonts w:hint="eastAsia" w:ascii="楷体" w:hAnsi="楷体" w:eastAsia="楷体"/>
                <w:sz w:val="18"/>
                <w:szCs w:val="18"/>
                <w:lang w:val="en-US" w:eastAsia="zh-CN"/>
              </w:rPr>
              <w:t>19</w:t>
            </w:r>
          </w:p>
        </w:tc>
        <w:tc>
          <w:tcPr>
            <w:tcW w:w="384" w:type="pct"/>
          </w:tcPr>
          <w:p w14:paraId="1E9AAE1B">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达州市新力休闲娱乐有限公司</w:t>
            </w:r>
          </w:p>
        </w:tc>
        <w:tc>
          <w:tcPr>
            <w:tcW w:w="241" w:type="pct"/>
          </w:tcPr>
          <w:p w14:paraId="2F1615F4">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达州市通川区</w:t>
            </w:r>
          </w:p>
        </w:tc>
        <w:tc>
          <w:tcPr>
            <w:tcW w:w="337" w:type="pct"/>
          </w:tcPr>
          <w:p w14:paraId="7D550ACD">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3300000.00 </w:t>
            </w:r>
          </w:p>
        </w:tc>
        <w:tc>
          <w:tcPr>
            <w:tcW w:w="385" w:type="pct"/>
          </w:tcPr>
          <w:p w14:paraId="428C6085">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1,111,090.08 </w:t>
            </w:r>
          </w:p>
        </w:tc>
        <w:tc>
          <w:tcPr>
            <w:tcW w:w="1757" w:type="pct"/>
          </w:tcPr>
          <w:p w14:paraId="1E5FA682">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巴中蜀东房地产开发有限公司、王树、陈英、徐建国、熊涛（已去世）提供保证担保，承担连带保证责任</w:t>
            </w:r>
          </w:p>
        </w:tc>
        <w:tc>
          <w:tcPr>
            <w:tcW w:w="1755" w:type="pct"/>
          </w:tcPr>
          <w:p w14:paraId="56839B0C">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未诉</w:t>
            </w:r>
          </w:p>
        </w:tc>
      </w:tr>
      <w:tr w14:paraId="331F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36" w:type="pct"/>
          </w:tcPr>
          <w:p w14:paraId="59D3DFEB">
            <w:pPr>
              <w:adjustRightInd w:val="0"/>
              <w:snapToGrid w:val="0"/>
              <w:spacing w:line="300" w:lineRule="auto"/>
              <w:jc w:val="center"/>
              <w:outlineLvl w:val="0"/>
              <w:rPr>
                <w:rFonts w:hint="eastAsia" w:ascii="楷体" w:hAnsi="楷体" w:eastAsia="楷体"/>
                <w:sz w:val="18"/>
                <w:szCs w:val="18"/>
                <w:lang w:val="en-US" w:eastAsia="zh-CN"/>
              </w:rPr>
            </w:pPr>
            <w:r>
              <w:rPr>
                <w:rFonts w:ascii="楷体" w:hAnsi="楷体" w:eastAsia="楷体"/>
                <w:sz w:val="18"/>
                <w:szCs w:val="18"/>
              </w:rPr>
              <w:t>2</w:t>
            </w:r>
            <w:r>
              <w:rPr>
                <w:rFonts w:hint="eastAsia" w:ascii="楷体" w:hAnsi="楷体" w:eastAsia="楷体"/>
                <w:sz w:val="18"/>
                <w:szCs w:val="18"/>
                <w:lang w:val="en-US" w:eastAsia="zh-CN"/>
              </w:rPr>
              <w:t>0</w:t>
            </w:r>
          </w:p>
        </w:tc>
        <w:tc>
          <w:tcPr>
            <w:tcW w:w="384" w:type="pct"/>
          </w:tcPr>
          <w:p w14:paraId="30422D3D">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四川竖翔建设工程有限公司</w:t>
            </w:r>
          </w:p>
        </w:tc>
        <w:tc>
          <w:tcPr>
            <w:tcW w:w="241" w:type="pct"/>
          </w:tcPr>
          <w:p w14:paraId="75CE4217">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达州市通川区</w:t>
            </w:r>
          </w:p>
        </w:tc>
        <w:tc>
          <w:tcPr>
            <w:tcW w:w="337" w:type="pct"/>
          </w:tcPr>
          <w:p w14:paraId="04CA70C2">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4330000.00 </w:t>
            </w:r>
          </w:p>
        </w:tc>
        <w:tc>
          <w:tcPr>
            <w:tcW w:w="385" w:type="pct"/>
          </w:tcPr>
          <w:p w14:paraId="65547474">
            <w:pPr>
              <w:adjustRightInd w:val="0"/>
              <w:snapToGrid w:val="0"/>
              <w:spacing w:line="300" w:lineRule="auto"/>
              <w:jc w:val="center"/>
              <w:outlineLvl w:val="0"/>
              <w:rPr>
                <w:rFonts w:ascii="楷体" w:hAnsi="楷体" w:eastAsia="楷体"/>
                <w:sz w:val="18"/>
                <w:szCs w:val="18"/>
              </w:rPr>
            </w:pPr>
            <w:r>
              <w:rPr>
                <w:rFonts w:ascii="楷体" w:hAnsi="楷体" w:eastAsia="楷体"/>
                <w:sz w:val="18"/>
                <w:szCs w:val="18"/>
              </w:rPr>
              <w:t xml:space="preserve">1,053,508.27 </w:t>
            </w:r>
          </w:p>
        </w:tc>
        <w:tc>
          <w:tcPr>
            <w:tcW w:w="1757" w:type="pct"/>
          </w:tcPr>
          <w:p w14:paraId="740465E5">
            <w:pPr>
              <w:adjustRightInd w:val="0"/>
              <w:snapToGrid w:val="0"/>
              <w:spacing w:line="300" w:lineRule="auto"/>
              <w:jc w:val="center"/>
              <w:outlineLvl w:val="0"/>
              <w:rPr>
                <w:rFonts w:ascii="楷体" w:hAnsi="楷体" w:eastAsia="楷体"/>
                <w:sz w:val="18"/>
                <w:szCs w:val="18"/>
              </w:rPr>
            </w:pPr>
            <w:r>
              <w:rPr>
                <w:rFonts w:hint="eastAsia" w:ascii="楷体" w:hAnsi="楷体" w:eastAsia="楷体"/>
                <w:sz w:val="18"/>
                <w:szCs w:val="18"/>
              </w:rPr>
              <w:t>质押担保：1、四川竖翔建设工程有限公司100%的股权。2、多功能钻机4台。杜江提供连带责任保证担保。</w:t>
            </w:r>
          </w:p>
        </w:tc>
        <w:tc>
          <w:tcPr>
            <w:tcW w:w="1755" w:type="pct"/>
          </w:tcPr>
          <w:p w14:paraId="67C607A3">
            <w:pPr>
              <w:adjustRightInd w:val="0"/>
              <w:snapToGrid w:val="0"/>
              <w:spacing w:line="300" w:lineRule="auto"/>
              <w:outlineLvl w:val="0"/>
              <w:rPr>
                <w:rFonts w:ascii="楷体" w:hAnsi="楷体" w:eastAsia="楷体"/>
                <w:sz w:val="18"/>
                <w:szCs w:val="18"/>
              </w:rPr>
            </w:pPr>
            <w:r>
              <w:rPr>
                <w:rFonts w:hint="eastAsia" w:ascii="楷体" w:hAnsi="楷体" w:eastAsia="楷体"/>
                <w:sz w:val="18"/>
                <w:szCs w:val="18"/>
              </w:rPr>
              <w:t>未诉</w:t>
            </w:r>
          </w:p>
        </w:tc>
      </w:tr>
    </w:tbl>
    <w:p w14:paraId="2B93CED0">
      <w:pPr>
        <w:spacing w:before="120" w:line="360" w:lineRule="exact"/>
        <w:jc w:val="left"/>
        <w:rPr>
          <w:b/>
        </w:rPr>
      </w:pPr>
    </w:p>
    <w:sectPr>
      <w:pgSz w:w="16838" w:h="11906" w:orient="landscape"/>
      <w:pgMar w:top="1304" w:right="1304" w:bottom="1106" w:left="1304"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F79B5">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14:paraId="47DCF0D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D4789">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68FDF9A8">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61B"/>
    <w:rsid w:val="00010B37"/>
    <w:rsid w:val="000153E8"/>
    <w:rsid w:val="00016557"/>
    <w:rsid w:val="000450ED"/>
    <w:rsid w:val="000467CC"/>
    <w:rsid w:val="00060CF7"/>
    <w:rsid w:val="00064948"/>
    <w:rsid w:val="00067FC3"/>
    <w:rsid w:val="00070728"/>
    <w:rsid w:val="00072D3C"/>
    <w:rsid w:val="00091BC7"/>
    <w:rsid w:val="00096C89"/>
    <w:rsid w:val="000978CC"/>
    <w:rsid w:val="000B3CF5"/>
    <w:rsid w:val="000B7546"/>
    <w:rsid w:val="000C2277"/>
    <w:rsid w:val="000D07FD"/>
    <w:rsid w:val="000D1378"/>
    <w:rsid w:val="000D15D3"/>
    <w:rsid w:val="000E6610"/>
    <w:rsid w:val="000F0863"/>
    <w:rsid w:val="0010163E"/>
    <w:rsid w:val="00106932"/>
    <w:rsid w:val="00111052"/>
    <w:rsid w:val="00150FC0"/>
    <w:rsid w:val="00156568"/>
    <w:rsid w:val="00177901"/>
    <w:rsid w:val="00183D87"/>
    <w:rsid w:val="0019321E"/>
    <w:rsid w:val="001A2CD5"/>
    <w:rsid w:val="001B0CF3"/>
    <w:rsid w:val="001B399D"/>
    <w:rsid w:val="001C3A56"/>
    <w:rsid w:val="001D4C94"/>
    <w:rsid w:val="001E2E48"/>
    <w:rsid w:val="001F5278"/>
    <w:rsid w:val="001F6B3B"/>
    <w:rsid w:val="002020EA"/>
    <w:rsid w:val="00204DC2"/>
    <w:rsid w:val="00205036"/>
    <w:rsid w:val="0020706E"/>
    <w:rsid w:val="00211A9A"/>
    <w:rsid w:val="00232435"/>
    <w:rsid w:val="00237822"/>
    <w:rsid w:val="00241956"/>
    <w:rsid w:val="00244D9F"/>
    <w:rsid w:val="00256C8A"/>
    <w:rsid w:val="0027159F"/>
    <w:rsid w:val="00280F97"/>
    <w:rsid w:val="00293B64"/>
    <w:rsid w:val="0029635F"/>
    <w:rsid w:val="002A361A"/>
    <w:rsid w:val="002A3EB3"/>
    <w:rsid w:val="002A6A40"/>
    <w:rsid w:val="002B32DD"/>
    <w:rsid w:val="002C1387"/>
    <w:rsid w:val="002C23A0"/>
    <w:rsid w:val="002C754E"/>
    <w:rsid w:val="002D3048"/>
    <w:rsid w:val="002E3AEA"/>
    <w:rsid w:val="002F19A2"/>
    <w:rsid w:val="00313A2C"/>
    <w:rsid w:val="0031446B"/>
    <w:rsid w:val="00327AFC"/>
    <w:rsid w:val="00342BCF"/>
    <w:rsid w:val="00360DF1"/>
    <w:rsid w:val="003922DC"/>
    <w:rsid w:val="00395B58"/>
    <w:rsid w:val="003B03B3"/>
    <w:rsid w:val="003B070B"/>
    <w:rsid w:val="003B5226"/>
    <w:rsid w:val="003B6450"/>
    <w:rsid w:val="003C0742"/>
    <w:rsid w:val="003C1CAF"/>
    <w:rsid w:val="003C3F0B"/>
    <w:rsid w:val="003D6488"/>
    <w:rsid w:val="003E13C5"/>
    <w:rsid w:val="00411766"/>
    <w:rsid w:val="00416EAC"/>
    <w:rsid w:val="00417476"/>
    <w:rsid w:val="00433ECB"/>
    <w:rsid w:val="00457A9A"/>
    <w:rsid w:val="00457FD3"/>
    <w:rsid w:val="00480D1E"/>
    <w:rsid w:val="004B61E7"/>
    <w:rsid w:val="004D38CE"/>
    <w:rsid w:val="004D7EB1"/>
    <w:rsid w:val="004E5C7F"/>
    <w:rsid w:val="004F3541"/>
    <w:rsid w:val="004F693F"/>
    <w:rsid w:val="00501137"/>
    <w:rsid w:val="00501C02"/>
    <w:rsid w:val="00503B25"/>
    <w:rsid w:val="00514B48"/>
    <w:rsid w:val="00531683"/>
    <w:rsid w:val="00532DB0"/>
    <w:rsid w:val="00540361"/>
    <w:rsid w:val="005413C7"/>
    <w:rsid w:val="00551D5B"/>
    <w:rsid w:val="00554E84"/>
    <w:rsid w:val="005552EC"/>
    <w:rsid w:val="00556BA1"/>
    <w:rsid w:val="005630D3"/>
    <w:rsid w:val="005A7E26"/>
    <w:rsid w:val="005B4E01"/>
    <w:rsid w:val="005C250F"/>
    <w:rsid w:val="005C7FA3"/>
    <w:rsid w:val="005E04D0"/>
    <w:rsid w:val="005F082E"/>
    <w:rsid w:val="006200A2"/>
    <w:rsid w:val="006205AD"/>
    <w:rsid w:val="006326CD"/>
    <w:rsid w:val="00637205"/>
    <w:rsid w:val="00651DBD"/>
    <w:rsid w:val="00652456"/>
    <w:rsid w:val="006607C4"/>
    <w:rsid w:val="00662E23"/>
    <w:rsid w:val="0067160C"/>
    <w:rsid w:val="00677292"/>
    <w:rsid w:val="00681208"/>
    <w:rsid w:val="006A2F6E"/>
    <w:rsid w:val="006A5A4E"/>
    <w:rsid w:val="006A6B6C"/>
    <w:rsid w:val="006B5875"/>
    <w:rsid w:val="006B770B"/>
    <w:rsid w:val="006D5FF9"/>
    <w:rsid w:val="006E5526"/>
    <w:rsid w:val="006E5CED"/>
    <w:rsid w:val="00704303"/>
    <w:rsid w:val="00712CA5"/>
    <w:rsid w:val="00725D66"/>
    <w:rsid w:val="00731DBB"/>
    <w:rsid w:val="00740AB6"/>
    <w:rsid w:val="00741183"/>
    <w:rsid w:val="00742FA4"/>
    <w:rsid w:val="00744066"/>
    <w:rsid w:val="00763005"/>
    <w:rsid w:val="00770F8C"/>
    <w:rsid w:val="007716EC"/>
    <w:rsid w:val="007924A9"/>
    <w:rsid w:val="00795E08"/>
    <w:rsid w:val="007B483F"/>
    <w:rsid w:val="007B665F"/>
    <w:rsid w:val="007C0A39"/>
    <w:rsid w:val="007C49BD"/>
    <w:rsid w:val="007D211F"/>
    <w:rsid w:val="007E027E"/>
    <w:rsid w:val="007E33B5"/>
    <w:rsid w:val="007E7FD1"/>
    <w:rsid w:val="00801244"/>
    <w:rsid w:val="00803383"/>
    <w:rsid w:val="00806369"/>
    <w:rsid w:val="00825181"/>
    <w:rsid w:val="00834538"/>
    <w:rsid w:val="00843954"/>
    <w:rsid w:val="008451D0"/>
    <w:rsid w:val="00852246"/>
    <w:rsid w:val="008612F7"/>
    <w:rsid w:val="00861B3B"/>
    <w:rsid w:val="00861D54"/>
    <w:rsid w:val="00871FA9"/>
    <w:rsid w:val="00881774"/>
    <w:rsid w:val="00897103"/>
    <w:rsid w:val="00897492"/>
    <w:rsid w:val="00897555"/>
    <w:rsid w:val="008A3A09"/>
    <w:rsid w:val="008E0CE9"/>
    <w:rsid w:val="008E2833"/>
    <w:rsid w:val="008F084F"/>
    <w:rsid w:val="008F7DF9"/>
    <w:rsid w:val="00904244"/>
    <w:rsid w:val="00917012"/>
    <w:rsid w:val="00920E7F"/>
    <w:rsid w:val="00931685"/>
    <w:rsid w:val="00933C19"/>
    <w:rsid w:val="0094039D"/>
    <w:rsid w:val="00941622"/>
    <w:rsid w:val="00941A76"/>
    <w:rsid w:val="00944A9B"/>
    <w:rsid w:val="00946B7D"/>
    <w:rsid w:val="0095661D"/>
    <w:rsid w:val="0096539C"/>
    <w:rsid w:val="00967E7A"/>
    <w:rsid w:val="0099634E"/>
    <w:rsid w:val="009A0B5F"/>
    <w:rsid w:val="009A171D"/>
    <w:rsid w:val="009C5CEE"/>
    <w:rsid w:val="009C7110"/>
    <w:rsid w:val="009D282A"/>
    <w:rsid w:val="009D7C26"/>
    <w:rsid w:val="009F2DE6"/>
    <w:rsid w:val="00A10CC3"/>
    <w:rsid w:val="00A25C9E"/>
    <w:rsid w:val="00A27086"/>
    <w:rsid w:val="00A345EF"/>
    <w:rsid w:val="00A41D6E"/>
    <w:rsid w:val="00A43404"/>
    <w:rsid w:val="00A50B5F"/>
    <w:rsid w:val="00A55C69"/>
    <w:rsid w:val="00A63B12"/>
    <w:rsid w:val="00A73254"/>
    <w:rsid w:val="00A761C9"/>
    <w:rsid w:val="00A76362"/>
    <w:rsid w:val="00A80F6F"/>
    <w:rsid w:val="00A8661B"/>
    <w:rsid w:val="00A879BF"/>
    <w:rsid w:val="00A91A20"/>
    <w:rsid w:val="00A95DE7"/>
    <w:rsid w:val="00AA5B6D"/>
    <w:rsid w:val="00AC2E70"/>
    <w:rsid w:val="00AD7429"/>
    <w:rsid w:val="00AF039F"/>
    <w:rsid w:val="00AF2EC5"/>
    <w:rsid w:val="00B04D50"/>
    <w:rsid w:val="00B061D5"/>
    <w:rsid w:val="00B14157"/>
    <w:rsid w:val="00B2634C"/>
    <w:rsid w:val="00B4231B"/>
    <w:rsid w:val="00B61057"/>
    <w:rsid w:val="00B706DC"/>
    <w:rsid w:val="00B77869"/>
    <w:rsid w:val="00B85E4E"/>
    <w:rsid w:val="00B86436"/>
    <w:rsid w:val="00B91142"/>
    <w:rsid w:val="00BA1B14"/>
    <w:rsid w:val="00BB2954"/>
    <w:rsid w:val="00BD06F7"/>
    <w:rsid w:val="00BD2832"/>
    <w:rsid w:val="00BD5100"/>
    <w:rsid w:val="00BE2C22"/>
    <w:rsid w:val="00BE39A2"/>
    <w:rsid w:val="00BE51F4"/>
    <w:rsid w:val="00BF5258"/>
    <w:rsid w:val="00C06805"/>
    <w:rsid w:val="00C26EE8"/>
    <w:rsid w:val="00C3077B"/>
    <w:rsid w:val="00C335E7"/>
    <w:rsid w:val="00C36A3F"/>
    <w:rsid w:val="00C419C5"/>
    <w:rsid w:val="00C43910"/>
    <w:rsid w:val="00C53262"/>
    <w:rsid w:val="00C66F1B"/>
    <w:rsid w:val="00C84798"/>
    <w:rsid w:val="00C85B9F"/>
    <w:rsid w:val="00C86857"/>
    <w:rsid w:val="00C914FB"/>
    <w:rsid w:val="00CA02B7"/>
    <w:rsid w:val="00CA4C29"/>
    <w:rsid w:val="00CB7AE9"/>
    <w:rsid w:val="00CF3A16"/>
    <w:rsid w:val="00CF4EAE"/>
    <w:rsid w:val="00D00650"/>
    <w:rsid w:val="00D132D6"/>
    <w:rsid w:val="00D1588C"/>
    <w:rsid w:val="00D27E67"/>
    <w:rsid w:val="00D65990"/>
    <w:rsid w:val="00D84352"/>
    <w:rsid w:val="00D914F6"/>
    <w:rsid w:val="00DB36F5"/>
    <w:rsid w:val="00DD1342"/>
    <w:rsid w:val="00DE25E9"/>
    <w:rsid w:val="00DF02F5"/>
    <w:rsid w:val="00E11AA2"/>
    <w:rsid w:val="00E218D8"/>
    <w:rsid w:val="00E44001"/>
    <w:rsid w:val="00E54AB4"/>
    <w:rsid w:val="00E76FB6"/>
    <w:rsid w:val="00E860D3"/>
    <w:rsid w:val="00EA6BCE"/>
    <w:rsid w:val="00EB3849"/>
    <w:rsid w:val="00EC48F8"/>
    <w:rsid w:val="00EC49E6"/>
    <w:rsid w:val="00EE4803"/>
    <w:rsid w:val="00F01EBE"/>
    <w:rsid w:val="00F03E12"/>
    <w:rsid w:val="00F05699"/>
    <w:rsid w:val="00F41CCA"/>
    <w:rsid w:val="00F425BB"/>
    <w:rsid w:val="00F52765"/>
    <w:rsid w:val="00F56065"/>
    <w:rsid w:val="00F63A45"/>
    <w:rsid w:val="00F661B3"/>
    <w:rsid w:val="00F66F6E"/>
    <w:rsid w:val="00F80316"/>
    <w:rsid w:val="00F827C8"/>
    <w:rsid w:val="00F85E8B"/>
    <w:rsid w:val="00F86872"/>
    <w:rsid w:val="00F874F6"/>
    <w:rsid w:val="00F9345E"/>
    <w:rsid w:val="00F96E96"/>
    <w:rsid w:val="00FB2344"/>
    <w:rsid w:val="00FD3008"/>
    <w:rsid w:val="00FE5B9D"/>
    <w:rsid w:val="00FF29C8"/>
    <w:rsid w:val="01B943CA"/>
    <w:rsid w:val="08F16C0C"/>
    <w:rsid w:val="15721503"/>
    <w:rsid w:val="1DF6399A"/>
    <w:rsid w:val="213C2775"/>
    <w:rsid w:val="24857B76"/>
    <w:rsid w:val="29732EFB"/>
    <w:rsid w:val="2B3057BD"/>
    <w:rsid w:val="2BA706E7"/>
    <w:rsid w:val="2C7420D7"/>
    <w:rsid w:val="2CFE3059"/>
    <w:rsid w:val="32B54166"/>
    <w:rsid w:val="336B704C"/>
    <w:rsid w:val="38DF4578"/>
    <w:rsid w:val="3C9D0018"/>
    <w:rsid w:val="40E716F8"/>
    <w:rsid w:val="4B77630D"/>
    <w:rsid w:val="4C6B3DA0"/>
    <w:rsid w:val="571D7A51"/>
    <w:rsid w:val="5C656D87"/>
    <w:rsid w:val="5C6A173A"/>
    <w:rsid w:val="5D836B24"/>
    <w:rsid w:val="64DE052E"/>
    <w:rsid w:val="65675511"/>
    <w:rsid w:val="6638543E"/>
    <w:rsid w:val="68570742"/>
    <w:rsid w:val="6A312133"/>
    <w:rsid w:val="762E71DA"/>
    <w:rsid w:val="797916D0"/>
    <w:rsid w:val="7A78734F"/>
    <w:rsid w:val="7B074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semiHidden/>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qFormat/>
    <w:uiPriority w:val="0"/>
    <w:rPr>
      <w:color w:val="954F72" w:themeColor="followedHyperlink"/>
      <w:u w:val="single"/>
      <w14:textFill>
        <w14:solidFill>
          <w14:schemeClr w14:val="folHlink"/>
        </w14:solidFill>
      </w14:textFill>
    </w:rPr>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paragraph" w:customStyle="1" w:styleId="15">
    <w:name w:val="Char Char Char Char"/>
    <w:basedOn w:val="1"/>
    <w:qFormat/>
    <w:uiPriority w:val="0"/>
    <w:rPr>
      <w:kern w:val="0"/>
      <w:sz w:val="24"/>
      <w:szCs w:val="20"/>
    </w:rPr>
  </w:style>
  <w:style w:type="character" w:customStyle="1" w:styleId="16">
    <w:name w:val="页眉 字符"/>
    <w:link w:val="6"/>
    <w:qFormat/>
    <w:uiPriority w:val="0"/>
    <w:rPr>
      <w:kern w:val="2"/>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1198</Words>
  <Characters>6830</Characters>
  <Lines>56</Lines>
  <Paragraphs>16</Paragraphs>
  <TotalTime>92</TotalTime>
  <ScaleCrop>false</ScaleCrop>
  <LinksUpToDate>false</LinksUpToDate>
  <CharactersWithSpaces>8012</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2021-10-25T03:00:00Z</dcterms:created>
  <dc:creator>MiaoQinghui</dc:creator>
  <cp:keywords> </cp:keywords>
  <cp:lastModifiedBy>zhenghuangjianfeng</cp:lastModifiedBy>
  <cp:lastPrinted>2016-01-28T09:13:00Z</cp:lastPrinted>
  <dcterms:modified xsi:type="dcterms:W3CDTF">2025-07-02T01:41:25Z</dcterms:modified>
  <dc:subject> </dc:subject>
  <dc:title> </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gAAAk3fnb0CAyDNgxakj+naAhdgIX8nGblNo</vt:lpwstr>
  </property>
  <property fmtid="{D5CDD505-2E9C-101B-9397-08002B2CF9AE}" pid="3" name="MAIL_MSG_ID1">
    <vt:lpwstr>sAAAE34RQVAK31ml5BlinVa/yF3+vFwlS/pOv6m/0lZgVsQ=</vt:lpwstr>
  </property>
  <property fmtid="{D5CDD505-2E9C-101B-9397-08002B2CF9AE}" pid="4" name="EMAIL_OWNER_ADDRESS">
    <vt:lpwstr>sAAAE34RQVAK31nnwqFjEWGAw+tQRuvad4LgfoxSVi96jsU=</vt:lpwstr>
  </property>
  <property fmtid="{D5CDD505-2E9C-101B-9397-08002B2CF9AE}" pid="5" name="KSOTemplateDocerSaveRecord">
    <vt:lpwstr>eyJoZGlkIjoiMTc4MTNlN2U1NjNhZTA4MmQyNTY4Y2ViZGIyMDEzMGEiLCJ1c2VySWQiOiIyNzAwNTk4NTcifQ==</vt:lpwstr>
  </property>
  <property fmtid="{D5CDD505-2E9C-101B-9397-08002B2CF9AE}" pid="6" name="KSOProductBuildVer">
    <vt:lpwstr>2052-12.8.2.18606</vt:lpwstr>
  </property>
  <property fmtid="{D5CDD505-2E9C-101B-9397-08002B2CF9AE}" pid="7" name="ICV">
    <vt:lpwstr>EE5E098E8BC345AFBF7EE403BE634F8F_12</vt:lpwstr>
  </property>
</Properties>
</file>