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BCD0" w14:textId="77777777" w:rsidR="001D75FA" w:rsidRDefault="00C91BDA">
      <w:pPr>
        <w:spacing w:line="400" w:lineRule="exact"/>
        <w:rPr>
          <w:rFonts w:eastAsia="楷体_GB2312"/>
          <w:b/>
          <w:sz w:val="32"/>
          <w:szCs w:val="32"/>
        </w:rPr>
      </w:pPr>
      <w:r>
        <w:rPr>
          <w:rFonts w:eastAsia="楷体_GB2312" w:hint="eastAsia"/>
          <w:b/>
          <w:sz w:val="32"/>
          <w:szCs w:val="32"/>
        </w:rPr>
        <w:t xml:space="preserve">   </w:t>
      </w:r>
    </w:p>
    <w:p w14:paraId="3DB28FD4" w14:textId="77777777" w:rsidR="001D75FA" w:rsidRDefault="00C91BDA">
      <w:pPr>
        <w:keepLines/>
        <w:autoSpaceDE w:val="0"/>
        <w:autoSpaceDN w:val="0"/>
        <w:adjustRightInd w:val="0"/>
        <w:spacing w:before="100" w:beforeAutospacing="1" w:after="100" w:afterAutospacing="1"/>
        <w:ind w:firstLineChars="1095" w:firstLine="3518"/>
        <w:rPr>
          <w:rFonts w:eastAsia="楷体_GB2312"/>
          <w:b/>
          <w:kern w:val="0"/>
          <w:sz w:val="32"/>
          <w:szCs w:val="32"/>
        </w:rPr>
      </w:pPr>
      <w:r>
        <w:rPr>
          <w:rFonts w:eastAsia="楷体_GB2312" w:hint="eastAsia"/>
          <w:b/>
          <w:kern w:val="0"/>
          <w:sz w:val="32"/>
          <w:szCs w:val="32"/>
        </w:rPr>
        <w:t>保密承诺书</w:t>
      </w:r>
    </w:p>
    <w:p w14:paraId="6E732BBD" w14:textId="4EB0FDB1" w:rsidR="001D75FA" w:rsidRDefault="00C91BDA">
      <w:pPr>
        <w:keepLines/>
        <w:autoSpaceDE w:val="0"/>
        <w:autoSpaceDN w:val="0"/>
        <w:adjustRightInd w:val="0"/>
        <w:jc w:val="left"/>
        <w:rPr>
          <w:rFonts w:ascii="仿宋" w:eastAsia="仿宋" w:hAnsi="仿宋"/>
          <w:kern w:val="0"/>
          <w:sz w:val="24"/>
          <w:lang w:val="en-GB"/>
        </w:rPr>
      </w:pPr>
      <w:r>
        <w:rPr>
          <w:rFonts w:ascii="仿宋" w:eastAsia="仿宋" w:hAnsi="仿宋"/>
          <w:kern w:val="0"/>
          <w:sz w:val="24"/>
          <w:lang w:val="en-GB"/>
        </w:rPr>
        <w:t>日</w:t>
      </w:r>
      <w:r>
        <w:rPr>
          <w:rFonts w:ascii="仿宋" w:eastAsia="仿宋" w:hAnsi="仿宋" w:hint="eastAsia"/>
          <w:kern w:val="0"/>
          <w:sz w:val="24"/>
          <w:lang w:val="en-GB"/>
        </w:rPr>
        <w:t xml:space="preserve">  </w:t>
      </w:r>
      <w:r>
        <w:rPr>
          <w:rFonts w:ascii="仿宋" w:eastAsia="仿宋" w:hAnsi="仿宋"/>
          <w:kern w:val="0"/>
          <w:sz w:val="24"/>
          <w:lang w:val="en-GB"/>
        </w:rPr>
        <w:t>期：</w:t>
      </w:r>
      <w:r>
        <w:rPr>
          <w:rFonts w:ascii="仿宋" w:eastAsia="仿宋" w:hAnsi="仿宋" w:hint="eastAsia"/>
          <w:kern w:val="0"/>
          <w:sz w:val="24"/>
          <w:lang w:val="en-GB"/>
        </w:rPr>
        <w:t>202</w:t>
      </w:r>
      <w:r w:rsidR="00B33860">
        <w:rPr>
          <w:rFonts w:ascii="仿宋" w:eastAsia="仿宋" w:hAnsi="仿宋" w:hint="eastAsia"/>
          <w:kern w:val="0"/>
          <w:sz w:val="24"/>
        </w:rPr>
        <w:t>5</w:t>
      </w:r>
      <w:r>
        <w:rPr>
          <w:rFonts w:ascii="仿宋" w:eastAsia="仿宋" w:hAnsi="仿宋" w:hint="eastAsia"/>
          <w:kern w:val="0"/>
          <w:sz w:val="24"/>
          <w:lang w:val="en-GB"/>
        </w:rPr>
        <w:t xml:space="preserve">年  </w:t>
      </w:r>
      <w:bookmarkStart w:id="0" w:name="_GoBack"/>
      <w:bookmarkEnd w:id="0"/>
      <w:r>
        <w:rPr>
          <w:rFonts w:ascii="仿宋" w:eastAsia="仿宋" w:hAnsi="仿宋" w:hint="eastAsia"/>
          <w:kern w:val="0"/>
          <w:sz w:val="24"/>
          <w:lang w:val="en-GB"/>
        </w:rPr>
        <w:t>月  日</w:t>
      </w:r>
      <w:r>
        <w:rPr>
          <w:rFonts w:ascii="仿宋" w:eastAsia="仿宋" w:hAnsi="仿宋"/>
          <w:kern w:val="0"/>
          <w:sz w:val="24"/>
          <w:lang w:val="en-GB"/>
        </w:rPr>
        <w:t xml:space="preserve"> </w:t>
      </w:r>
    </w:p>
    <w:p w14:paraId="0721DC13" w14:textId="77777777" w:rsidR="001D75FA" w:rsidRDefault="00C91BDA">
      <w:pPr>
        <w:keepLines/>
        <w:autoSpaceDE w:val="0"/>
        <w:autoSpaceDN w:val="0"/>
        <w:adjustRightInd w:val="0"/>
        <w:jc w:val="left"/>
        <w:rPr>
          <w:rFonts w:ascii="仿宋" w:eastAsia="仿宋" w:hAnsi="仿宋"/>
          <w:kern w:val="0"/>
          <w:sz w:val="24"/>
          <w:lang w:val="en-GB"/>
        </w:rPr>
      </w:pPr>
      <w:r>
        <w:rPr>
          <w:rFonts w:ascii="仿宋" w:eastAsia="仿宋" w:hAnsi="仿宋" w:hint="eastAsia"/>
          <w:kern w:val="0"/>
          <w:sz w:val="24"/>
          <w:lang w:val="en-GB"/>
        </w:rPr>
        <w:t>致：中国东方资产管理股份有限公司山东省分公司</w:t>
      </w:r>
    </w:p>
    <w:p w14:paraId="59BBFBBC" w14:textId="068DE532" w:rsidR="001D75FA" w:rsidRDefault="00C91BDA">
      <w:pPr>
        <w:keepLines/>
        <w:autoSpaceDE w:val="0"/>
        <w:autoSpaceDN w:val="0"/>
        <w:adjustRightInd w:val="0"/>
        <w:jc w:val="left"/>
        <w:rPr>
          <w:rFonts w:ascii="仿宋" w:eastAsia="仿宋" w:hAnsi="仿宋"/>
          <w:kern w:val="0"/>
          <w:sz w:val="24"/>
          <w:lang w:val="en-GB"/>
        </w:rPr>
      </w:pPr>
      <w:proofErr w:type="gramStart"/>
      <w:r>
        <w:rPr>
          <w:rFonts w:ascii="仿宋" w:eastAsia="仿宋" w:hAnsi="仿宋"/>
          <w:kern w:val="0"/>
          <w:sz w:val="24"/>
          <w:lang w:val="en-GB"/>
        </w:rPr>
        <w:t>收启人</w:t>
      </w:r>
      <w:proofErr w:type="gramEnd"/>
      <w:r>
        <w:rPr>
          <w:rFonts w:ascii="仿宋" w:eastAsia="仿宋" w:hAnsi="仿宋"/>
          <w:kern w:val="0"/>
          <w:sz w:val="24"/>
          <w:lang w:val="en-GB"/>
        </w:rPr>
        <w:t>：</w:t>
      </w:r>
      <w:r w:rsidR="00B33860">
        <w:rPr>
          <w:rFonts w:ascii="仿宋" w:eastAsia="仿宋" w:hAnsi="仿宋" w:hint="eastAsia"/>
          <w:kern w:val="0"/>
          <w:sz w:val="24"/>
          <w:lang w:val="en-GB"/>
        </w:rPr>
        <w:t>高</w:t>
      </w:r>
      <w:r>
        <w:rPr>
          <w:rFonts w:ascii="仿宋" w:eastAsia="仿宋" w:hAnsi="仿宋" w:hint="eastAsia"/>
          <w:kern w:val="0"/>
          <w:sz w:val="24"/>
          <w:lang w:val="en-GB"/>
        </w:rPr>
        <w:t>经理</w:t>
      </w:r>
    </w:p>
    <w:p w14:paraId="79A2E69A" w14:textId="6DB7810A" w:rsidR="001D75FA" w:rsidRDefault="00C91BDA">
      <w:pPr>
        <w:keepLines/>
        <w:autoSpaceDE w:val="0"/>
        <w:autoSpaceDN w:val="0"/>
        <w:adjustRightInd w:val="0"/>
        <w:jc w:val="left"/>
        <w:rPr>
          <w:rFonts w:ascii="仿宋" w:eastAsia="仿宋" w:hAnsi="仿宋"/>
          <w:kern w:val="0"/>
          <w:sz w:val="24"/>
          <w:lang w:val="en-GB"/>
        </w:rPr>
      </w:pPr>
      <w:r>
        <w:rPr>
          <w:rFonts w:ascii="仿宋" w:eastAsia="仿宋" w:hAnsi="仿宋"/>
          <w:kern w:val="0"/>
          <w:sz w:val="24"/>
          <w:lang w:val="en-GB"/>
        </w:rPr>
        <w:t>电</w:t>
      </w:r>
      <w:r>
        <w:rPr>
          <w:rFonts w:ascii="仿宋" w:eastAsia="仿宋" w:hAnsi="仿宋" w:hint="eastAsia"/>
          <w:kern w:val="0"/>
          <w:sz w:val="24"/>
          <w:lang w:val="en-GB"/>
        </w:rPr>
        <w:t xml:space="preserve">  </w:t>
      </w:r>
      <w:r>
        <w:rPr>
          <w:rFonts w:ascii="仿宋" w:eastAsia="仿宋" w:hAnsi="仿宋"/>
          <w:kern w:val="0"/>
          <w:sz w:val="24"/>
          <w:lang w:val="en-GB"/>
        </w:rPr>
        <w:t>话：</w:t>
      </w:r>
      <w:r>
        <w:rPr>
          <w:rFonts w:ascii="仿宋" w:eastAsia="仿宋" w:hAnsi="仿宋" w:hint="eastAsia"/>
          <w:kern w:val="0"/>
          <w:sz w:val="24"/>
          <w:lang w:val="en-GB"/>
        </w:rPr>
        <w:t>0532-</w:t>
      </w:r>
      <w:r w:rsidR="00234BB8">
        <w:rPr>
          <w:rFonts w:ascii="仿宋" w:eastAsia="仿宋" w:hAnsi="仿宋" w:hint="eastAsia"/>
          <w:kern w:val="0"/>
          <w:sz w:val="24"/>
          <w:lang w:val="en-GB"/>
        </w:rPr>
        <w:t>58</w:t>
      </w:r>
      <w:r w:rsidR="00B33860">
        <w:rPr>
          <w:rFonts w:ascii="仿宋" w:eastAsia="仿宋" w:hAnsi="仿宋" w:hint="eastAsia"/>
          <w:kern w:val="0"/>
          <w:sz w:val="24"/>
          <w:lang w:val="en-GB"/>
        </w:rPr>
        <w:t>760788</w:t>
      </w:r>
    </w:p>
    <w:p w14:paraId="14C2BB9F" w14:textId="77777777" w:rsidR="001D75FA" w:rsidRDefault="001D75FA">
      <w:pPr>
        <w:rPr>
          <w:rFonts w:ascii="楷体_GB2312" w:eastAsia="楷体_GB2312" w:hAnsi="华文楷体"/>
          <w:sz w:val="24"/>
        </w:rPr>
      </w:pPr>
    </w:p>
    <w:p w14:paraId="1B1BAC43" w14:textId="6FB6C754" w:rsidR="001D75FA" w:rsidRDefault="00C91BDA">
      <w:pPr>
        <w:pStyle w:val="Headingtest"/>
        <w:widowControl w:val="0"/>
        <w:spacing w:line="240" w:lineRule="auto"/>
        <w:ind w:left="0" w:firstLineChars="200" w:firstLine="480"/>
        <w:outlineLvl w:val="9"/>
        <w:rPr>
          <w:rFonts w:ascii="楷体_GB2312" w:eastAsia="楷体_GB2312" w:hAnsi="华文楷体"/>
          <w:spacing w:val="0"/>
          <w:szCs w:val="24"/>
          <w:lang w:eastAsia="zh-CN"/>
        </w:rPr>
      </w:pPr>
      <w:r>
        <w:rPr>
          <w:rFonts w:ascii="楷体_GB2312" w:eastAsia="楷体_GB2312" w:hAnsi="华文楷体" w:hint="eastAsia"/>
          <w:spacing w:val="0"/>
          <w:szCs w:val="24"/>
          <w:lang w:eastAsia="zh-CN"/>
        </w:rPr>
        <w:t>本单位/本人，___________________________________ (下称“投资人”)，拟参加中国东方资产管理股份有限公司山东省分公司(下称“东方”)公开竞价出售东方对</w:t>
      </w:r>
      <w:r w:rsidR="00690AAD" w:rsidRPr="00690AAD">
        <w:rPr>
          <w:rFonts w:ascii="楷体_GB2312" w:eastAsia="楷体_GB2312" w:hAnsi="华文楷体" w:hint="eastAsia"/>
          <w:spacing w:val="0"/>
          <w:szCs w:val="24"/>
          <w:lang w:eastAsia="zh-CN"/>
        </w:rPr>
        <w:t>山东华轮实业有限公司等12户</w:t>
      </w:r>
      <w:r w:rsidR="00020ED0" w:rsidRPr="00020ED0">
        <w:rPr>
          <w:rFonts w:ascii="楷体_GB2312" w:eastAsia="楷体_GB2312" w:hAnsi="华文楷体" w:hint="eastAsia"/>
          <w:spacing w:val="0"/>
          <w:szCs w:val="24"/>
          <w:lang w:eastAsia="zh-CN"/>
        </w:rPr>
        <w:t>债权及其附属担保权益</w:t>
      </w:r>
      <w:r>
        <w:rPr>
          <w:rFonts w:ascii="楷体_GB2312" w:eastAsia="楷体_GB2312" w:hAnsi="华文楷体" w:hint="eastAsia"/>
          <w:spacing w:val="0"/>
          <w:szCs w:val="24"/>
          <w:lang w:eastAsia="zh-CN"/>
        </w:rPr>
        <w:t>（下称“标的资产”</w:t>
      </w:r>
      <w:r w:rsidR="00690AAD">
        <w:rPr>
          <w:rFonts w:ascii="楷体_GB2312" w:eastAsia="楷体_GB2312" w:hAnsi="华文楷体" w:hint="eastAsia"/>
          <w:spacing w:val="0"/>
          <w:szCs w:val="24"/>
          <w:lang w:eastAsia="zh-CN"/>
        </w:rPr>
        <w:t>，</w:t>
      </w:r>
      <w:r w:rsidR="00690AAD" w:rsidRPr="00690AAD">
        <w:rPr>
          <w:rFonts w:ascii="楷体_GB2312" w:eastAsia="楷体_GB2312" w:hAnsi="华文楷体" w:hint="eastAsia"/>
          <w:spacing w:val="0"/>
          <w:szCs w:val="24"/>
          <w:lang w:eastAsia="zh-CN"/>
        </w:rPr>
        <w:t>资产编号：COAMC-鲁-202504-002，标的资产具体情况详见附件</w:t>
      </w:r>
      <w:r>
        <w:rPr>
          <w:rFonts w:ascii="楷体_GB2312" w:eastAsia="楷体_GB2312" w:hAnsi="华文楷体" w:hint="eastAsia"/>
          <w:spacing w:val="0"/>
          <w:szCs w:val="24"/>
          <w:lang w:eastAsia="zh-CN"/>
        </w:rPr>
        <w:t>）的公开竞争性程序(下称“交易”)。考虑到东方同意就交易向投资人提供保密信息(定义见下文)并与投资人就标的资产出售事宜进行商讨，投资人确认保密信息具有保密性质，且东方系根据</w:t>
      </w:r>
      <w:proofErr w:type="gramStart"/>
      <w:r>
        <w:rPr>
          <w:rFonts w:ascii="楷体_GB2312" w:eastAsia="楷体_GB2312" w:hAnsi="华文楷体" w:hint="eastAsia"/>
          <w:spacing w:val="0"/>
          <w:szCs w:val="24"/>
          <w:lang w:eastAsia="zh-CN"/>
        </w:rPr>
        <w:t>本承诺</w:t>
      </w:r>
      <w:proofErr w:type="gramEnd"/>
      <w:r>
        <w:rPr>
          <w:rFonts w:ascii="楷体_GB2312" w:eastAsia="楷体_GB2312" w:hAnsi="华文楷体" w:hint="eastAsia"/>
          <w:spacing w:val="0"/>
          <w:szCs w:val="24"/>
          <w:lang w:eastAsia="zh-CN"/>
        </w:rPr>
        <w:t>书的规定在投资人对东方严格履行保密义务的情况下进行提供，并且仅为对标的资产作研究和评估以及商讨出售之目的而使用。投资人进一步同意并</w:t>
      </w:r>
      <w:proofErr w:type="gramStart"/>
      <w:r>
        <w:rPr>
          <w:rFonts w:ascii="楷体_GB2312" w:eastAsia="楷体_GB2312" w:hAnsi="华文楷体" w:hint="eastAsia"/>
          <w:spacing w:val="0"/>
          <w:szCs w:val="24"/>
          <w:lang w:eastAsia="zh-CN"/>
        </w:rPr>
        <w:t>作出</w:t>
      </w:r>
      <w:proofErr w:type="gramEnd"/>
      <w:r>
        <w:rPr>
          <w:rFonts w:ascii="楷体_GB2312" w:eastAsia="楷体_GB2312" w:hAnsi="华文楷体" w:hint="eastAsia"/>
          <w:spacing w:val="0"/>
          <w:szCs w:val="24"/>
          <w:lang w:eastAsia="zh-CN"/>
        </w:rPr>
        <w:t>以下承诺：</w:t>
      </w:r>
    </w:p>
    <w:p w14:paraId="3FF18BE5" w14:textId="77777777" w:rsidR="001D75FA" w:rsidRDefault="001D75FA">
      <w:pPr>
        <w:pStyle w:val="1"/>
        <w:keepNext w:val="0"/>
        <w:numPr>
          <w:ilvl w:val="0"/>
          <w:numId w:val="0"/>
        </w:numPr>
        <w:rPr>
          <w:rFonts w:ascii="楷体_GB2312" w:eastAsia="楷体_GB2312" w:hAnsi="华文楷体"/>
          <w:sz w:val="21"/>
          <w:szCs w:val="21"/>
          <w:lang w:val="en-GB"/>
        </w:rPr>
      </w:pPr>
    </w:p>
    <w:p w14:paraId="50DA26DE"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w:t>
      </w:r>
    </w:p>
    <w:p w14:paraId="71EB8F68"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为</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之目的，“保密信息”指由东方通过任何方式，提供给投资人或其代理或顾问的，有关东方或交易或标的资产的任何性质的任何信息。具体包括：(i)由投资人或其代理或顾问通过与东方的董事、管理层或雇员或该等人员的任何顾问的商讨交流，而获得的任何保密信息；(ii)与东方、标的资产或交易有关的全部协议、文件和材料；(iii)保密信息(定义见本条款)的全部复制件(定义见下文第4.2条)，以及由投资人或其代理或顾问制作的、包含或反映该等保密信息(为避免歧义，包括交易以及相关讨论和谈判的存在)的任何报告、分析、编辑、研究或其它材料或文件；以及(iv)东方向投资人或其代理或顾问提供的不被公众所知的其他文件资料和信息。</w:t>
      </w:r>
    </w:p>
    <w:p w14:paraId="1306ED7D"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保密信息不应包括(i)已经为公众所知的任何该等保密信息，除非该信息是由于投资人或任何有权人士(定义见下文第3.1条)违反</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书中的义务而为公众所知的；(ii)非因任何第三方违反保密义务而导致的，在依</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 xml:space="preserve">书披露前已为投资人或任何有权人士所获知的任何该等保密信息；(iii)投资人或任何有权人士自第三方处获得的信息，而向其提供该等信息的第三方对东方并不承担保密义务；或(iv)投资人能够证明是由一个或多个有权人士在不依赖保密信息的情况下所开发的任何该等保密信息。 </w:t>
      </w:r>
    </w:p>
    <w:p w14:paraId="71D2824A" w14:textId="77777777" w:rsidR="001D75FA" w:rsidRDefault="001D75FA">
      <w:pPr>
        <w:rPr>
          <w:b/>
        </w:rPr>
      </w:pPr>
    </w:p>
    <w:p w14:paraId="68E1222C"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保密义务</w:t>
      </w:r>
    </w:p>
    <w:p w14:paraId="49BC40A2"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投资人获取和收取东方交付或提供的保密信息，应符合东方做出的指示和要求，无论该指示和</w:t>
      </w:r>
      <w:proofErr w:type="gramStart"/>
      <w:r>
        <w:rPr>
          <w:rFonts w:ascii="楷体_GB2312" w:eastAsia="楷体_GB2312" w:hAnsi="华文楷体" w:hint="eastAsia"/>
          <w:b w:val="0"/>
          <w:sz w:val="24"/>
          <w:szCs w:val="24"/>
        </w:rPr>
        <w:t>要</w:t>
      </w:r>
      <w:proofErr w:type="gramEnd"/>
      <w:r>
        <w:rPr>
          <w:rFonts w:ascii="楷体_GB2312" w:eastAsia="楷体_GB2312" w:hAnsi="华文楷体" w:hint="eastAsia"/>
          <w:b w:val="0"/>
          <w:sz w:val="24"/>
          <w:szCs w:val="24"/>
        </w:rPr>
        <w:t>求是总体上或在某一特定场合做出的。在</w:t>
      </w:r>
      <w:r>
        <w:rPr>
          <w:rFonts w:ascii="楷体_GB2312" w:eastAsia="楷体_GB2312" w:hAnsi="华文楷体" w:hint="eastAsia"/>
          <w:b w:val="0"/>
          <w:sz w:val="24"/>
          <w:szCs w:val="24"/>
        </w:rPr>
        <w:lastRenderedPageBreak/>
        <w:t>东方的场所获得的保密信息不得带出东方的场所或该等其它场所，因为该信息的获取可能并未取得东方的事先书面同意。</w:t>
      </w:r>
    </w:p>
    <w:p w14:paraId="569D9A67"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对所有保密信息保密，投资人使用保密信息应仅限于对标的资产研究和评估以及商讨交易之目的，不应用于任何其它目的。根据第3条的规定，未经东方的事先书面同意，投资人不得将保密信息披露给除有权人士之外的任何个人、公司、组织或者其他机构。投资人承诺将确保保密信息得到保护，使其免于被窃取或为任何未经授权人士获得，除非经东方授权，否则任何人</w:t>
      </w:r>
      <w:proofErr w:type="gramStart"/>
      <w:r>
        <w:rPr>
          <w:rFonts w:ascii="楷体_GB2312" w:eastAsia="楷体_GB2312" w:hAnsi="华文楷体" w:hint="eastAsia"/>
          <w:b w:val="0"/>
          <w:sz w:val="24"/>
          <w:szCs w:val="24"/>
        </w:rPr>
        <w:t>不</w:t>
      </w:r>
      <w:proofErr w:type="gramEnd"/>
      <w:r>
        <w:rPr>
          <w:rFonts w:ascii="楷体_GB2312" w:eastAsia="楷体_GB2312" w:hAnsi="华文楷体" w:hint="eastAsia"/>
          <w:b w:val="0"/>
          <w:sz w:val="24"/>
          <w:szCs w:val="24"/>
        </w:rPr>
        <w:t>应从投资人处收到任何保密信息。</w:t>
      </w:r>
    </w:p>
    <w:p w14:paraId="0E073C23"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投资人同意并承诺全面遵守适用于东方提供或使投资人获得保密信息、投资人接触和使用保密信息或与标的资产或交易有关的全部相关法律、法规、规则和指令。</w:t>
      </w:r>
    </w:p>
    <w:p w14:paraId="36A1099A"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在不影响投资人(根据</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函、法律或其它规定所承担)的任何保密义务的情况下，投资人进一步同意并承诺，不会同任何其他已知的标的资产潜在投资人讨论任何事宜，也不会将与标的资产或标的资产营销或交易有关的任何信息或文件提供给任何其他已知的标的资产潜在投资人，或使该等潜在投资人获得任何保密信息。</w:t>
      </w:r>
    </w:p>
    <w:p w14:paraId="0DEFB835"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对于投资人在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书签署前已了解到的保密信息(如有)，投资人同意按照</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书的规定对该等信息加以保密。</w:t>
      </w:r>
    </w:p>
    <w:p w14:paraId="6B87C58D"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对有权人士的披露</w:t>
      </w:r>
    </w:p>
    <w:p w14:paraId="1FDFFF2F"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投资人和东方同意以下人员应为“有权人士”：</w:t>
      </w:r>
    </w:p>
    <w:p w14:paraId="455FF276" w14:textId="77777777" w:rsidR="001D75FA" w:rsidRDefault="00C91BDA">
      <w:pPr>
        <w:pStyle w:val="Paraa"/>
        <w:widowControl w:val="0"/>
        <w:numPr>
          <w:ilvl w:val="0"/>
          <w:numId w:val="4"/>
        </w:numPr>
        <w:tabs>
          <w:tab w:val="clear" w:pos="720"/>
          <w:tab w:val="left" w:pos="81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投资人的董事、高级管理人员和雇员；</w:t>
      </w:r>
    </w:p>
    <w:p w14:paraId="60E38E7B" w14:textId="77777777" w:rsidR="001D75FA" w:rsidRDefault="00C91BDA">
      <w:pPr>
        <w:pStyle w:val="Paraa"/>
        <w:widowControl w:val="0"/>
        <w:numPr>
          <w:ilvl w:val="0"/>
          <w:numId w:val="4"/>
        </w:numPr>
        <w:tabs>
          <w:tab w:val="clear" w:pos="720"/>
          <w:tab w:val="left" w:pos="117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投资人所聘请的专业咨询师和/或顾问；</w:t>
      </w:r>
    </w:p>
    <w:p w14:paraId="6A3F4926" w14:textId="77777777" w:rsidR="001D75FA" w:rsidRDefault="00C91BDA">
      <w:pPr>
        <w:pStyle w:val="Paraa"/>
        <w:widowControl w:val="0"/>
        <w:numPr>
          <w:ilvl w:val="0"/>
          <w:numId w:val="4"/>
        </w:numPr>
        <w:tabs>
          <w:tab w:val="clear" w:pos="720"/>
          <w:tab w:val="left" w:pos="117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东方已书面同意可收到保密信息的任何其他人。</w:t>
      </w:r>
    </w:p>
    <w:p w14:paraId="217D9D26"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投资人可把一些或全部保密信息披露给任何有权人士，但条件是投资人应确保使每一有权人士在获得任何保密信息之前了解</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书的规定，</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书中对投资人规定的义务同样对有权人士具有约束力，且该等有权人士使用保密信息的范围限于合法适当地参与对标的资产的研究、评估、商讨或向投资人提供咨询。投资人应确保每一有权人士遵守</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书中的各项规定，如同有权人士是本承诺书的一方。</w:t>
      </w:r>
    </w:p>
    <w:p w14:paraId="345847BB"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投资人同意，投资人将对任何有权人士违反</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书的任何规定承担违约责任，如同投资人违反了这些规定。</w:t>
      </w:r>
    </w:p>
    <w:p w14:paraId="17D0AC8A"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投资人为交易目的聘用任何咨询顾问，投资人应向东方发送顾问披露声明。如果据投资人所知，无论是实际的(包括东方的通知)或经提醒的，投资人聘用的顾问曾为任何其他的交易潜在投资人所聘用，投资人须要</w:t>
      </w:r>
      <w:proofErr w:type="gramStart"/>
      <w:r>
        <w:rPr>
          <w:rFonts w:ascii="楷体_GB2312" w:eastAsia="楷体_GB2312" w:hAnsi="华文楷体" w:hint="eastAsia"/>
          <w:b w:val="0"/>
          <w:sz w:val="24"/>
          <w:szCs w:val="24"/>
        </w:rPr>
        <w:t>求相关</w:t>
      </w:r>
      <w:proofErr w:type="gramEnd"/>
      <w:r>
        <w:rPr>
          <w:rFonts w:ascii="楷体_GB2312" w:eastAsia="楷体_GB2312" w:hAnsi="华文楷体" w:hint="eastAsia"/>
          <w:b w:val="0"/>
          <w:sz w:val="24"/>
          <w:szCs w:val="24"/>
        </w:rPr>
        <w:t>顾问采取适当的措施和程序，以防止该等顾问直接或间接地同任何其他潜在投资人、公司、实体或个人串通、同谋、共谋或达成协议，提交与交易有关的具有竞争性的投标，或避免提交与交易有关</w:t>
      </w:r>
      <w:r>
        <w:rPr>
          <w:rFonts w:ascii="楷体_GB2312" w:eastAsia="楷体_GB2312" w:hAnsi="华文楷体" w:hint="eastAsia"/>
          <w:b w:val="0"/>
          <w:sz w:val="24"/>
          <w:szCs w:val="24"/>
        </w:rPr>
        <w:lastRenderedPageBreak/>
        <w:t>的投标，或直接或间接地以任何方式与任何其他的潜在投资人、公司或个人达成协议、串通、沟通或商讨，而影响投资人投标或任何其它潜在投资人投标中的一项或多项价格。投资人将迅速通知东方该等措施和程序的程度与方式。投资人同意并确认，如果东方认为投资人可能已违反了</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书中规定的任何声明或保证，或者如果投资人的任何顾问可能已参与了</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书禁止的任何行为，则东方有权单方决定，取消投资人的资格。</w:t>
      </w:r>
    </w:p>
    <w:p w14:paraId="61BFF2A4"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复制件</w:t>
      </w:r>
    </w:p>
    <w:p w14:paraId="0AAB0906"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只有在对标的资产的作价和评估以及商讨交易所必需的条件下，投资人可以制作复制件。所有的复制件应当清楚地表明为保密文件，并且受</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书条款的限制。</w:t>
      </w:r>
    </w:p>
    <w:p w14:paraId="7E8CDB1D"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为</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书之目的，“复制件”应指保密信息的复制件，包括任何文件、电子文档、注释、摘要、分析，或代表、记录和记载保密信息的包含、反映或源自保密信息的任何其它方法。</w:t>
      </w:r>
    </w:p>
    <w:p w14:paraId="435B1A83"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法律要求的披露</w:t>
      </w:r>
    </w:p>
    <w:p w14:paraId="1198DE1D"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投资人意识到，根据法律、法规、监管机构或有管辖权法院的命令，投资人可能被要求披露任何保密信息，投资人应在披露前立即将该事实、所有有关的情况和将被披露的保密信息以书面形式通知东方。如果投资人在</w:t>
      </w:r>
      <w:proofErr w:type="gramStart"/>
      <w:r>
        <w:rPr>
          <w:rFonts w:ascii="楷体_GB2312" w:eastAsia="楷体_GB2312" w:hAnsi="华文楷体" w:hint="eastAsia"/>
          <w:b w:val="0"/>
          <w:sz w:val="24"/>
          <w:szCs w:val="24"/>
        </w:rPr>
        <w:t>作出</w:t>
      </w:r>
      <w:proofErr w:type="gramEnd"/>
      <w:r>
        <w:rPr>
          <w:rFonts w:ascii="楷体_GB2312" w:eastAsia="楷体_GB2312" w:hAnsi="华文楷体" w:hint="eastAsia"/>
          <w:b w:val="0"/>
          <w:sz w:val="24"/>
          <w:szCs w:val="24"/>
        </w:rPr>
        <w:t>该等披露之前不被允许通知东方，投资人应在披露之后立即通知东方。</w:t>
      </w:r>
    </w:p>
    <w:p w14:paraId="05BC715C"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在进行任何该等披露之前，投资人应(除非不允许)就如何避免或限制披露可能</w:t>
      </w:r>
      <w:r>
        <w:rPr>
          <w:rFonts w:ascii="楷体_GB2312" w:eastAsia="楷体_GB2312" w:hAnsi="华文楷体"/>
          <w:b w:val="0"/>
          <w:sz w:val="24"/>
          <w:szCs w:val="24"/>
        </w:rPr>
        <w:t>造成</w:t>
      </w:r>
      <w:r>
        <w:rPr>
          <w:rFonts w:ascii="楷体_GB2312" w:eastAsia="楷体_GB2312" w:hAnsi="华文楷体" w:hint="eastAsia"/>
          <w:b w:val="0"/>
          <w:sz w:val="24"/>
          <w:szCs w:val="24"/>
        </w:rPr>
        <w:t>的不良影响与东方进行沟通，并应从接收披露保密信息的机构获得关于保密的任何可以获得的保证。受上述规定的限制，投资人可以在被要求披露保密信息的最低程度上，根据法律、法规或主管司法法庭的命令，对保密信息进行披露。</w:t>
      </w:r>
    </w:p>
    <w:p w14:paraId="3808EC85"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在投资人知晓或怀疑保密信息已被披露给任何未授权方后，投资人应立即通知东方。</w:t>
      </w:r>
    </w:p>
    <w:p w14:paraId="15BDC170"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保密信息的归还</w:t>
      </w:r>
    </w:p>
    <w:p w14:paraId="1A0A2177"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如果在任何</w:t>
      </w:r>
      <w:proofErr w:type="gramStart"/>
      <w:r>
        <w:rPr>
          <w:rFonts w:ascii="楷体_GB2312" w:eastAsia="楷体_GB2312" w:hAnsi="华文楷体" w:hint="eastAsia"/>
          <w:b w:val="0"/>
          <w:sz w:val="24"/>
          <w:szCs w:val="24"/>
        </w:rPr>
        <w:t>时间东方</w:t>
      </w:r>
      <w:proofErr w:type="gramEnd"/>
      <w:r>
        <w:rPr>
          <w:rFonts w:ascii="楷体_GB2312" w:eastAsia="楷体_GB2312" w:hAnsi="华文楷体" w:hint="eastAsia"/>
          <w:b w:val="0"/>
          <w:sz w:val="24"/>
          <w:szCs w:val="24"/>
        </w:rPr>
        <w:t>决定交易将不再继续进行，或者如果东方着手把标的资产交易给另一方，或为此进行谈判，东方可以于届时或随后的任何时间要求投资人停止所有对保密信息的评估及使用，并且在这种情况下：</w:t>
      </w:r>
    </w:p>
    <w:p w14:paraId="678EC975" w14:textId="77777777" w:rsidR="001D75FA" w:rsidRDefault="00C91BDA">
      <w:pPr>
        <w:numPr>
          <w:ilvl w:val="2"/>
          <w:numId w:val="5"/>
        </w:numPr>
        <w:spacing w:after="240"/>
        <w:rPr>
          <w:rFonts w:ascii="楷体_GB2312" w:eastAsia="楷体_GB2312" w:hAnsi="华文楷体"/>
          <w:sz w:val="24"/>
        </w:rPr>
      </w:pPr>
      <w:r>
        <w:rPr>
          <w:rFonts w:ascii="楷体_GB2312" w:eastAsia="楷体_GB2312" w:hAnsi="华文楷体" w:hint="eastAsia"/>
          <w:sz w:val="24"/>
        </w:rPr>
        <w:t>投资人应将拥有的标的资产保密信息和复制件归还给东方，或者(如果按照东方的指示)应将其销毁或永久删除，并应确保每一有权人士采取同样的做法；</w:t>
      </w:r>
    </w:p>
    <w:p w14:paraId="7F255CF2" w14:textId="77777777" w:rsidR="001D75FA" w:rsidRDefault="00C91BDA">
      <w:pPr>
        <w:numPr>
          <w:ilvl w:val="2"/>
          <w:numId w:val="5"/>
        </w:numPr>
        <w:spacing w:after="240"/>
        <w:rPr>
          <w:rFonts w:ascii="楷体_GB2312" w:eastAsia="楷体_GB2312" w:hAnsi="华文楷体"/>
          <w:sz w:val="24"/>
        </w:rPr>
      </w:pPr>
      <w:r>
        <w:rPr>
          <w:rFonts w:ascii="楷体_GB2312" w:eastAsia="楷体_GB2312" w:hAnsi="华文楷体" w:hint="eastAsia"/>
          <w:sz w:val="24"/>
        </w:rPr>
        <w:t>投资人应销毁由其制作或为其制作的或其拥有的、包含任何保密信息的所有文件，并应确保每一有权人士采取同样的做法。</w:t>
      </w:r>
    </w:p>
    <w:p w14:paraId="46730BA1"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lastRenderedPageBreak/>
        <w:t>尽管有第6.1条的规定，应投资人特别申请并经东方事先</w:t>
      </w:r>
      <w:proofErr w:type="gramStart"/>
      <w:r>
        <w:rPr>
          <w:rFonts w:ascii="楷体_GB2312" w:eastAsia="楷体_GB2312" w:hAnsi="华文楷体" w:hint="eastAsia"/>
          <w:b w:val="0"/>
          <w:sz w:val="24"/>
          <w:szCs w:val="24"/>
        </w:rPr>
        <w:t>特别</w:t>
      </w:r>
      <w:proofErr w:type="gramEnd"/>
      <w:r>
        <w:rPr>
          <w:rFonts w:ascii="楷体_GB2312" w:eastAsia="楷体_GB2312" w:hAnsi="华文楷体" w:hint="eastAsia"/>
          <w:b w:val="0"/>
          <w:sz w:val="24"/>
          <w:szCs w:val="24"/>
        </w:rPr>
        <w:t>书面同意，投资人可保留部分保密信息。但应对该部分保密信息始终承担保密义务及责任。</w:t>
      </w:r>
    </w:p>
    <w:p w14:paraId="00081C3C"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应东方要求，投资人在根据第6.1条归还保密信息和复制件、并根据第6.2条保留部分保密信息的情况下，应向东方提供由投资人适当授权的代表(或东方可接受的其他人员)合法签署的证明信，确认就宣告方所知和所信，投资人已遵守了其在第6.1条项下的全部义务，并描述根据</w:t>
      </w:r>
      <w:proofErr w:type="gramStart"/>
      <w:r>
        <w:rPr>
          <w:rFonts w:ascii="楷体_GB2312" w:eastAsia="楷体_GB2312" w:hAnsi="华文楷体" w:hint="eastAsia"/>
          <w:b w:val="0"/>
          <w:sz w:val="24"/>
          <w:szCs w:val="24"/>
        </w:rPr>
        <w:t>上述第6</w:t>
      </w:r>
      <w:proofErr w:type="gramEnd"/>
      <w:r>
        <w:rPr>
          <w:rFonts w:ascii="楷体_GB2312" w:eastAsia="楷体_GB2312" w:hAnsi="华文楷体" w:hint="eastAsia"/>
          <w:b w:val="0"/>
          <w:sz w:val="24"/>
          <w:szCs w:val="24"/>
        </w:rPr>
        <w:t>.2条拟保留的保密信息。</w:t>
      </w:r>
    </w:p>
    <w:p w14:paraId="5B481D85"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对投资人的限制</w:t>
      </w:r>
    </w:p>
    <w:p w14:paraId="2DE55DC0"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投资人在此确认并证实，东方没有向其授予与保密信息有关的任何权利或许可，除非在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 xml:space="preserve">书中有明确规定。 </w:t>
      </w:r>
    </w:p>
    <w:p w14:paraId="22B68C2B"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投资人承诺，未经东方的事先书面同意，无论投资人或投资人的</w:t>
      </w:r>
      <w:proofErr w:type="gramStart"/>
      <w:r>
        <w:rPr>
          <w:rFonts w:ascii="楷体_GB2312" w:eastAsia="楷体_GB2312" w:hAnsi="华文楷体" w:hint="eastAsia"/>
          <w:b w:val="0"/>
          <w:sz w:val="24"/>
          <w:szCs w:val="24"/>
        </w:rPr>
        <w:t>任何代表</w:t>
      </w:r>
      <w:proofErr w:type="gramEnd"/>
      <w:r>
        <w:rPr>
          <w:rFonts w:ascii="楷体_GB2312" w:eastAsia="楷体_GB2312" w:hAnsi="华文楷体" w:hint="eastAsia"/>
          <w:b w:val="0"/>
          <w:sz w:val="24"/>
          <w:szCs w:val="24"/>
        </w:rPr>
        <w:t>或有权人士，均不得与标的资产的任何东方的前手权利人、借款人、抵押人、担保人或与标的资产有关的其他担保提供者(或他们当中的任何董事、高级管理人员或雇员)、或以东方为受益人的任何担保财产的任何租户、占用者、持有者或使用者联络，来讨论或提供或接收与标的资产或标的资产交易有关的任何信息。</w:t>
      </w:r>
    </w:p>
    <w:p w14:paraId="5D2AF697"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保密信息披露的基础</w:t>
      </w:r>
    </w:p>
    <w:p w14:paraId="79E7A640"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书及根据</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向投资人提供任何保密信息不应构成对标的资产进行买卖的要约。投资人确认，东方没有义务接受投资人对购买标的资产提出的任何报价，与交易有关的双方的义务(如有)应完全由东方和投资人为标的资产交易而正式签署的标的资产转让协议来规定。</w:t>
      </w:r>
    </w:p>
    <w:p w14:paraId="5B6E2510"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关于向投资人提供的任何保密信息的准确性或完整性，东方现在或将来都不作任何声明或保证，无论是明示的或是暗示的；关于与此相关的责任或义务，东方现在或将来均不承担，除非根据由东方和投资人为标的资产交易而正式签署的标的资产转让协议的条款另有规定。</w:t>
      </w:r>
    </w:p>
    <w:p w14:paraId="746BFCB5"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投资人同意，投资人不会就保密信息或与保密信息有关的错误陈述提出索赔或诉讼或其它要求。</w:t>
      </w:r>
    </w:p>
    <w:p w14:paraId="32393970"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在提供保密信息时，东方不承诺使投资人获得任何其它的保密信息，或对保密信息进行更新，或改正所提供的保密信息中可能明显出现的任何不准确之处。</w:t>
      </w:r>
    </w:p>
    <w:p w14:paraId="77D195E6"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书项下的义务应持续有效，除第6.2适用该条款特别约定外，其他义务应自</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书签署之日起的三年内一直具有完全的效力，除非根据由东方和投资人为标的资产交易而正式签署的标的资产转让协议的条款对与该标的资产相关的保密义务另有规定。</w:t>
      </w:r>
    </w:p>
    <w:p w14:paraId="6AC1462E"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东方权利的确认</w:t>
      </w:r>
    </w:p>
    <w:p w14:paraId="523CD0C6" w14:textId="77777777" w:rsidR="001D75FA" w:rsidRDefault="00C91BDA">
      <w:pPr>
        <w:pStyle w:val="2"/>
        <w:keepNext w:val="0"/>
        <w:numPr>
          <w:ilvl w:val="0"/>
          <w:numId w:val="0"/>
        </w:numPr>
        <w:spacing w:after="240"/>
        <w:ind w:left="360"/>
        <w:rPr>
          <w:rFonts w:ascii="楷体_GB2312" w:eastAsia="楷体_GB2312" w:hAnsi="华文楷体"/>
          <w:b w:val="0"/>
          <w:sz w:val="24"/>
          <w:szCs w:val="24"/>
        </w:rPr>
      </w:pPr>
      <w:r>
        <w:rPr>
          <w:rFonts w:ascii="楷体_GB2312" w:eastAsia="楷体_GB2312" w:hAnsi="华文楷体" w:hint="eastAsia"/>
          <w:b w:val="0"/>
          <w:sz w:val="24"/>
          <w:szCs w:val="24"/>
        </w:rPr>
        <w:lastRenderedPageBreak/>
        <w:t>投资人确认并同意，东方拥有以下权利：</w:t>
      </w:r>
    </w:p>
    <w:p w14:paraId="6923D750"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如果东方</w:t>
      </w:r>
      <w:proofErr w:type="gramStart"/>
      <w:r>
        <w:rPr>
          <w:rFonts w:ascii="楷体_GB2312" w:eastAsia="楷体_GB2312" w:hAnsi="华文楷体" w:hint="eastAsia"/>
          <w:b w:val="0"/>
          <w:sz w:val="24"/>
          <w:szCs w:val="24"/>
        </w:rPr>
        <w:t>作出</w:t>
      </w:r>
      <w:proofErr w:type="gramEnd"/>
      <w:r>
        <w:rPr>
          <w:rFonts w:ascii="楷体_GB2312" w:eastAsia="楷体_GB2312" w:hAnsi="华文楷体" w:hint="eastAsia"/>
          <w:b w:val="0"/>
          <w:sz w:val="24"/>
          <w:szCs w:val="24"/>
        </w:rPr>
        <w:t>判断，认为投资人不具备评估标的资产收购风险、对标的资产进行投标、完成标的资产的收购或从事与标的资产相关的业务所需的知识、经验、能力或财务或其他资源，则东方有权在任何时候要求投资人提供其它的或更新的信息，并有权拒绝给予投资人收购资格；</w:t>
      </w:r>
    </w:p>
    <w:p w14:paraId="69CF9468"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在任何时候撤销、取消或修改交易条款；</w:t>
      </w:r>
    </w:p>
    <w:p w14:paraId="4EC24D23"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在任何时候接受或拒绝投资人或任何其他潜在投资人的投标；</w:t>
      </w:r>
    </w:p>
    <w:p w14:paraId="0638696F"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不必给出原因，在任何时间就任何方面，终止同投资人或</w:t>
      </w:r>
      <w:proofErr w:type="gramStart"/>
      <w:r>
        <w:rPr>
          <w:rFonts w:ascii="楷体_GB2312" w:eastAsia="楷体_GB2312" w:hAnsi="华文楷体" w:hint="eastAsia"/>
          <w:b w:val="0"/>
          <w:sz w:val="24"/>
          <w:szCs w:val="24"/>
        </w:rPr>
        <w:t>任何或</w:t>
      </w:r>
      <w:proofErr w:type="gramEnd"/>
      <w:r>
        <w:rPr>
          <w:rFonts w:ascii="楷体_GB2312" w:eastAsia="楷体_GB2312" w:hAnsi="华文楷体" w:hint="eastAsia"/>
          <w:b w:val="0"/>
          <w:sz w:val="24"/>
          <w:szCs w:val="24"/>
        </w:rPr>
        <w:t>全部潜在投资人的讨论；或不必事先通知投资人，就涉及标的资产的交易同任何一方进行谈判；以及</w:t>
      </w:r>
    </w:p>
    <w:p w14:paraId="70A932E4" w14:textId="77777777" w:rsidR="001D75FA" w:rsidRDefault="00C91BDA">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不必给出原因，在任何时间就任何方面，终止投资人和/或任何其他的标的资产潜在投资人参与交易的进程。</w:t>
      </w:r>
    </w:p>
    <w:p w14:paraId="605151B5"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赔偿</w:t>
      </w:r>
    </w:p>
    <w:p w14:paraId="76C68D60" w14:textId="77777777" w:rsidR="001D75FA" w:rsidRDefault="00C91BDA">
      <w:pPr>
        <w:pStyle w:val="Para11"/>
        <w:widowControl w:val="0"/>
        <w:spacing w:before="0" w:after="240"/>
        <w:ind w:leftChars="171" w:left="359" w:firstLineChars="200" w:firstLine="480"/>
        <w:jc w:val="both"/>
        <w:rPr>
          <w:rFonts w:ascii="楷体_GB2312" w:eastAsia="楷体_GB2312" w:hAnsi="华文楷体"/>
          <w:iCs/>
          <w:szCs w:val="24"/>
          <w:lang w:eastAsia="zh-CN"/>
        </w:rPr>
      </w:pPr>
      <w:r>
        <w:rPr>
          <w:rFonts w:ascii="楷体_GB2312" w:eastAsia="楷体_GB2312" w:hAnsi="华文楷体" w:hint="eastAsia"/>
          <w:iCs/>
          <w:szCs w:val="24"/>
          <w:lang w:eastAsia="zh-CN"/>
        </w:rPr>
        <w:t>投资人承诺，如因投资人或任何有权人士违反</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书中包含的声明、保证或义务，东方有权向投资者</w:t>
      </w:r>
      <w:r>
        <w:rPr>
          <w:rFonts w:ascii="楷体_GB2312" w:eastAsia="楷体_GB2312" w:hAnsi="华文楷体"/>
          <w:iCs/>
          <w:szCs w:val="24"/>
          <w:lang w:eastAsia="zh-CN"/>
        </w:rPr>
        <w:t>追偿，要求投资者</w:t>
      </w:r>
      <w:r>
        <w:rPr>
          <w:rFonts w:ascii="楷体_GB2312" w:eastAsia="楷体_GB2312" w:hAnsi="华文楷体" w:hint="eastAsia"/>
          <w:iCs/>
          <w:szCs w:val="24"/>
          <w:lang w:eastAsia="zh-CN"/>
        </w:rPr>
        <w:t>支付东方因此遭受的任何损失、费用、罚金或罚款，包括但不限于，与实现东方的权利、或为促使投资人履行义务或</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书项下或根据</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书的任何有权人士履行义务有关而使东方发生的任何开销(包括合理的律师费和支出)、费用或其它债务。</w:t>
      </w:r>
    </w:p>
    <w:p w14:paraId="225C64EB"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管辖法律与争议解决</w:t>
      </w:r>
    </w:p>
    <w:p w14:paraId="0A998E91" w14:textId="77777777" w:rsidR="001D75FA" w:rsidRDefault="00C91BDA">
      <w:pPr>
        <w:pStyle w:val="Para11"/>
        <w:spacing w:after="240"/>
        <w:ind w:leftChars="214" w:left="449" w:firstLineChars="200" w:firstLine="480"/>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书的效力、解释和履行应受中国法律的管辖。对于因</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书引起的、或与</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书有关的任何争议，东方和投资人应通过友好协商来解决。如果在该协商开始后30天内双方未能找到满意的解决方法，可以采用以下第1种方式解决：</w:t>
      </w:r>
    </w:p>
    <w:p w14:paraId="70A9EDE9" w14:textId="77777777" w:rsidR="001D75FA" w:rsidRDefault="00C91BDA">
      <w:pPr>
        <w:pStyle w:val="Para11"/>
        <w:spacing w:after="240"/>
        <w:ind w:leftChars="214" w:left="449" w:firstLineChars="200" w:firstLine="480"/>
        <w:rPr>
          <w:rFonts w:ascii="楷体_GB2312" w:eastAsia="楷体_GB2312" w:hAnsi="华文楷体"/>
          <w:szCs w:val="24"/>
          <w:lang w:eastAsia="zh-CN"/>
        </w:rPr>
      </w:pPr>
      <w:r>
        <w:rPr>
          <w:rFonts w:ascii="楷体_GB2312" w:eastAsia="楷体_GB2312" w:hAnsi="华文楷体" w:hint="eastAsia"/>
          <w:szCs w:val="24"/>
          <w:lang w:eastAsia="zh-CN"/>
        </w:rPr>
        <w:t>(1)</w:t>
      </w:r>
      <w:r>
        <w:rPr>
          <w:rFonts w:ascii="楷体_GB2312" w:eastAsia="楷体_GB2312" w:hAnsi="华文楷体" w:hint="eastAsia"/>
          <w:szCs w:val="24"/>
          <w:lang w:eastAsia="zh-CN"/>
        </w:rPr>
        <w:tab/>
        <w:t>向东方住所地有管辖权的人民法院提起诉讼；</w:t>
      </w:r>
    </w:p>
    <w:p w14:paraId="55A91906" w14:textId="77777777" w:rsidR="001D75FA" w:rsidRDefault="00C91BDA">
      <w:pPr>
        <w:pStyle w:val="Para11"/>
        <w:widowControl w:val="0"/>
        <w:spacing w:before="0" w:after="240"/>
        <w:ind w:leftChars="214" w:left="449" w:firstLineChars="200" w:firstLine="480"/>
        <w:jc w:val="both"/>
        <w:rPr>
          <w:rFonts w:ascii="楷体_GB2312" w:eastAsia="楷体_GB2312" w:hAnsi="华文楷体"/>
          <w:b/>
          <w:szCs w:val="24"/>
          <w:lang w:eastAsia="zh-CN"/>
        </w:rPr>
      </w:pPr>
      <w:r>
        <w:rPr>
          <w:rFonts w:ascii="楷体_GB2312" w:eastAsia="楷体_GB2312" w:hAnsi="华文楷体" w:hint="eastAsia"/>
          <w:szCs w:val="24"/>
          <w:lang w:eastAsia="zh-CN"/>
        </w:rPr>
        <w:t>(2)</w:t>
      </w:r>
      <w:r>
        <w:rPr>
          <w:rFonts w:ascii="楷体_GB2312" w:eastAsia="楷体_GB2312" w:hAnsi="华文楷体" w:hint="eastAsia"/>
          <w:szCs w:val="24"/>
          <w:lang w:eastAsia="zh-CN"/>
        </w:rPr>
        <w:tab/>
        <w:t>提交仲裁委员会在仲裁地点按其届时有效的仲裁规则</w:t>
      </w:r>
      <w:proofErr w:type="gramStart"/>
      <w:r>
        <w:rPr>
          <w:rFonts w:ascii="楷体_GB2312" w:eastAsia="楷体_GB2312" w:hAnsi="华文楷体" w:hint="eastAsia"/>
          <w:szCs w:val="24"/>
          <w:lang w:eastAsia="zh-CN"/>
        </w:rPr>
        <w:t>作出</w:t>
      </w:r>
      <w:proofErr w:type="gramEnd"/>
      <w:r>
        <w:rPr>
          <w:rFonts w:ascii="楷体_GB2312" w:eastAsia="楷体_GB2312" w:hAnsi="华文楷体" w:hint="eastAsia"/>
          <w:szCs w:val="24"/>
          <w:lang w:eastAsia="zh-CN"/>
        </w:rPr>
        <w:t>有拘束力的仲裁裁决。仲裁庭由三名仲裁员组成。东方</w:t>
      </w:r>
      <w:r>
        <w:rPr>
          <w:rFonts w:ascii="楷体_GB2312" w:eastAsia="楷体_GB2312" w:hAnsi="华文楷体"/>
          <w:szCs w:val="24"/>
          <w:lang w:eastAsia="zh-CN"/>
        </w:rPr>
        <w:t>和</w:t>
      </w:r>
      <w:r>
        <w:rPr>
          <w:rFonts w:ascii="楷体_GB2312" w:eastAsia="楷体_GB2312" w:hAnsi="华文楷体" w:hint="eastAsia"/>
          <w:szCs w:val="24"/>
          <w:lang w:eastAsia="zh-CN"/>
        </w:rPr>
        <w:t>投资人有权各选定一名仲裁员；双方应共同选定第三名仲裁员，第三名仲裁员为仲裁庭的首席仲裁员。仲裁语言为中文。该仲裁裁决为终局性裁决，对双方均有法律约束力。完整协议</w:t>
      </w:r>
    </w:p>
    <w:p w14:paraId="5F59C6EA" w14:textId="77777777" w:rsidR="001D75FA" w:rsidRDefault="00C91BDA">
      <w:pPr>
        <w:pStyle w:val="Para11"/>
        <w:widowControl w:val="0"/>
        <w:spacing w:before="0" w:after="240"/>
        <w:ind w:leftChars="171" w:left="359" w:firstLineChars="200" w:firstLine="480"/>
        <w:jc w:val="both"/>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书包含双方就</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书的主题事项所同意的全部条款，并取代双方之前的任何协议、备忘录或安排，无论是口头的或是书面的。除非</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书有明确规定，否则不得认为在</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书之前双方谈判的任何口头或书面内容中，已</w:t>
      </w:r>
      <w:proofErr w:type="gramStart"/>
      <w:r>
        <w:rPr>
          <w:rFonts w:ascii="楷体_GB2312" w:eastAsia="楷体_GB2312" w:hAnsi="华文楷体" w:hint="eastAsia"/>
          <w:szCs w:val="24"/>
          <w:lang w:eastAsia="zh-CN"/>
        </w:rPr>
        <w:t>作出</w:t>
      </w:r>
      <w:proofErr w:type="gramEnd"/>
      <w:r>
        <w:rPr>
          <w:rFonts w:ascii="楷体_GB2312" w:eastAsia="楷体_GB2312" w:hAnsi="华文楷体" w:hint="eastAsia"/>
          <w:szCs w:val="24"/>
          <w:lang w:eastAsia="zh-CN"/>
        </w:rPr>
        <w:t>或暗含任何声明、承诺或许诺。</w:t>
      </w:r>
    </w:p>
    <w:p w14:paraId="31586B76"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变更与弃权</w:t>
      </w:r>
    </w:p>
    <w:p w14:paraId="64532060" w14:textId="77777777" w:rsidR="001D75FA" w:rsidRDefault="00C91BDA">
      <w:pPr>
        <w:pStyle w:val="Para11"/>
        <w:widowControl w:val="0"/>
        <w:spacing w:before="0" w:after="240"/>
        <w:ind w:leftChars="214" w:left="449" w:firstLineChars="200" w:firstLine="480"/>
        <w:jc w:val="both"/>
        <w:rPr>
          <w:rFonts w:ascii="楷体_GB2312" w:eastAsia="楷体_GB2312" w:hAnsi="华文楷体"/>
          <w:szCs w:val="24"/>
          <w:lang w:eastAsia="zh-CN"/>
        </w:rPr>
      </w:pPr>
      <w:r>
        <w:rPr>
          <w:rFonts w:ascii="楷体_GB2312" w:eastAsia="楷体_GB2312" w:hAnsi="华文楷体" w:hint="eastAsia"/>
          <w:szCs w:val="24"/>
          <w:lang w:eastAsia="zh-CN"/>
        </w:rPr>
        <w:lastRenderedPageBreak/>
        <w:t>除非双方的授权代理人以书面形式签署，否则对</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书的任何变更或修改均无效。任何一方在任何时间或任何期间未能实施</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书的条款或执行根据</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 xml:space="preserve">书而产生的任何权利，不应构成，且不应被解释为对该条款或权利的放弃，也不应对该方在以后对该条款和权利的实施或执行构成任何不利影响。 </w:t>
      </w:r>
    </w:p>
    <w:p w14:paraId="1BC6D3CD" w14:textId="77777777" w:rsidR="001D75FA" w:rsidRDefault="00C91BDA">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可分割性</w:t>
      </w:r>
    </w:p>
    <w:p w14:paraId="2CFC5BF0" w14:textId="77777777" w:rsidR="001D75FA" w:rsidRDefault="00C91BDA">
      <w:pPr>
        <w:pStyle w:val="Para11"/>
        <w:widowControl w:val="0"/>
        <w:spacing w:before="0" w:after="240"/>
        <w:ind w:leftChars="214" w:left="449" w:firstLineChars="200" w:firstLine="480"/>
        <w:jc w:val="both"/>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本承诺书任何</w:t>
      </w:r>
      <w:proofErr w:type="gramEnd"/>
      <w:r>
        <w:rPr>
          <w:rFonts w:ascii="楷体_GB2312" w:eastAsia="楷体_GB2312" w:hAnsi="华文楷体" w:hint="eastAsia"/>
          <w:szCs w:val="24"/>
          <w:lang w:eastAsia="zh-CN"/>
        </w:rPr>
        <w:t>条款的无效或根据</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书产生的任何权利的无法执行或实现，均不会以任何方式影响其余的条款或权利。</w:t>
      </w:r>
    </w:p>
    <w:p w14:paraId="27301C74" w14:textId="77777777" w:rsidR="001D75FA" w:rsidRDefault="001D75FA">
      <w:pPr>
        <w:pStyle w:val="a5"/>
        <w:rPr>
          <w:rFonts w:ascii="楷体_GB2312" w:eastAsia="楷体_GB2312" w:hAnsi="华文楷体"/>
          <w:b/>
          <w:szCs w:val="21"/>
        </w:rPr>
      </w:pPr>
    </w:p>
    <w:p w14:paraId="48419144" w14:textId="77777777" w:rsidR="001D75FA" w:rsidRDefault="00C91BDA">
      <w:pPr>
        <w:tabs>
          <w:tab w:val="left" w:pos="4320"/>
        </w:tabs>
        <w:rPr>
          <w:rFonts w:ascii="楷体_GB2312" w:eastAsia="楷体_GB2312" w:hAnsi="华文楷体"/>
          <w:sz w:val="24"/>
        </w:rPr>
      </w:pPr>
      <w:r>
        <w:rPr>
          <w:rFonts w:ascii="楷体_GB2312" w:eastAsia="楷体_GB2312" w:hAnsi="华文楷体" w:hint="eastAsia"/>
          <w:sz w:val="24"/>
        </w:rPr>
        <w:t>此致</w:t>
      </w:r>
    </w:p>
    <w:p w14:paraId="0C340988" w14:textId="77777777" w:rsidR="001D75FA" w:rsidRDefault="001D75FA">
      <w:pPr>
        <w:tabs>
          <w:tab w:val="left" w:pos="4320"/>
        </w:tabs>
        <w:rPr>
          <w:rFonts w:ascii="楷体_GB2312" w:eastAsia="楷体_GB2312" w:hAnsi="华文楷体"/>
          <w:b/>
          <w:sz w:val="24"/>
        </w:rPr>
      </w:pPr>
    </w:p>
    <w:p w14:paraId="54EA34E6" w14:textId="77777777" w:rsidR="001D75FA" w:rsidRDefault="00C91BDA">
      <w:pPr>
        <w:tabs>
          <w:tab w:val="left" w:pos="4320"/>
        </w:tabs>
        <w:rPr>
          <w:rFonts w:ascii="楷体_GB2312" w:eastAsia="楷体_GB2312" w:hAnsi="华文楷体"/>
          <w:b/>
          <w:sz w:val="24"/>
        </w:rPr>
      </w:pPr>
      <w:r>
        <w:rPr>
          <w:rFonts w:ascii="楷体_GB2312" w:eastAsia="楷体_GB2312" w:hAnsi="华文楷体" w:hint="eastAsia"/>
          <w:b/>
          <w:sz w:val="24"/>
        </w:rPr>
        <w:t>中国东方资产管理股份有限公司山东省分公司</w:t>
      </w:r>
    </w:p>
    <w:p w14:paraId="156083B2" w14:textId="77777777" w:rsidR="001D75FA" w:rsidRDefault="001D75FA">
      <w:pPr>
        <w:tabs>
          <w:tab w:val="left" w:pos="4320"/>
        </w:tabs>
        <w:rPr>
          <w:rFonts w:ascii="楷体_GB2312" w:eastAsia="楷体_GB2312" w:hAnsi="华文楷体"/>
          <w:sz w:val="24"/>
        </w:rPr>
      </w:pPr>
    </w:p>
    <w:p w14:paraId="3118C42F" w14:textId="77777777" w:rsidR="001D75FA" w:rsidRDefault="00C91BDA">
      <w:pPr>
        <w:spacing w:beforeLines="50" w:before="156" w:line="400" w:lineRule="exact"/>
        <w:rPr>
          <w:rFonts w:ascii="楷体_GB2312" w:eastAsia="楷体_GB2312"/>
          <w:sz w:val="24"/>
        </w:rPr>
      </w:pPr>
      <w:r>
        <w:rPr>
          <w:rFonts w:ascii="楷体_GB2312" w:eastAsia="楷体_GB2312" w:hint="eastAsia"/>
          <w:sz w:val="24"/>
        </w:rPr>
        <w:t>投资者（公章）（投资</w:t>
      </w:r>
      <w:r>
        <w:rPr>
          <w:rFonts w:ascii="楷体_GB2312" w:eastAsia="楷体_GB2312"/>
          <w:sz w:val="24"/>
        </w:rPr>
        <w:t>人为</w:t>
      </w:r>
      <w:r>
        <w:rPr>
          <w:rFonts w:ascii="楷体_GB2312" w:eastAsia="楷体_GB2312" w:hint="eastAsia"/>
          <w:sz w:val="24"/>
        </w:rPr>
        <w:t>非自然人）：____________________________________</w:t>
      </w:r>
    </w:p>
    <w:p w14:paraId="2A0A6FC8" w14:textId="77777777" w:rsidR="001D75FA" w:rsidRDefault="00C91BDA">
      <w:pPr>
        <w:spacing w:beforeLines="50" w:before="156" w:line="400" w:lineRule="exact"/>
        <w:rPr>
          <w:rFonts w:ascii="楷体_GB2312" w:eastAsia="楷体_GB2312"/>
          <w:sz w:val="24"/>
        </w:rPr>
      </w:pPr>
      <w:r>
        <w:rPr>
          <w:rFonts w:ascii="楷体_GB2312" w:eastAsia="楷体_GB2312" w:hint="eastAsia"/>
          <w:sz w:val="24"/>
        </w:rPr>
        <w:t>法定代表人或授权代理人（签字）：_________________</w:t>
      </w:r>
    </w:p>
    <w:p w14:paraId="10D27419" w14:textId="77777777" w:rsidR="001D75FA" w:rsidRDefault="001D75FA">
      <w:pPr>
        <w:spacing w:beforeLines="50" w:before="156" w:line="400" w:lineRule="exact"/>
        <w:rPr>
          <w:rFonts w:ascii="楷体_GB2312" w:eastAsia="楷体_GB2312"/>
          <w:sz w:val="24"/>
        </w:rPr>
      </w:pPr>
    </w:p>
    <w:p w14:paraId="674ADD86" w14:textId="77777777" w:rsidR="001D75FA" w:rsidRDefault="001D75FA">
      <w:pPr>
        <w:spacing w:beforeLines="50" w:before="156" w:line="400" w:lineRule="exact"/>
        <w:rPr>
          <w:rFonts w:ascii="楷体_GB2312" w:eastAsia="楷体_GB2312"/>
          <w:sz w:val="24"/>
        </w:rPr>
      </w:pPr>
    </w:p>
    <w:p w14:paraId="3C00B6BA" w14:textId="77777777" w:rsidR="001D75FA" w:rsidRDefault="001D75FA">
      <w:pPr>
        <w:pStyle w:val="a6"/>
        <w:tabs>
          <w:tab w:val="left" w:pos="4320"/>
        </w:tabs>
        <w:spacing w:before="60" w:after="60"/>
        <w:rPr>
          <w:rFonts w:ascii="华文楷体" w:eastAsia="华文楷体" w:hAnsi="华文楷体"/>
          <w:szCs w:val="21"/>
        </w:rPr>
      </w:pPr>
    </w:p>
    <w:p w14:paraId="7D4A7198" w14:textId="77777777" w:rsidR="00690AAD" w:rsidRPr="00690AAD" w:rsidRDefault="00690AAD" w:rsidP="00690AAD">
      <w:pPr>
        <w:autoSpaceDE w:val="0"/>
        <w:autoSpaceDN w:val="0"/>
        <w:adjustRightInd w:val="0"/>
        <w:spacing w:afterLines="100" w:after="312" w:line="300" w:lineRule="auto"/>
        <w:outlineLvl w:val="0"/>
        <w:rPr>
          <w:rFonts w:ascii="楷体_GB2312" w:eastAsia="楷体_GB2312" w:hAnsi="宋体" w:hint="eastAsia"/>
          <w:b/>
          <w:sz w:val="24"/>
        </w:rPr>
      </w:pPr>
      <w:r w:rsidRPr="00690AAD">
        <w:rPr>
          <w:rFonts w:ascii="楷体_GB2312" w:eastAsia="楷体_GB2312" w:hAnsi="宋体" w:hint="eastAsia"/>
          <w:b/>
          <w:sz w:val="24"/>
        </w:rPr>
        <w:t>附件   标的资产清单</w:t>
      </w:r>
    </w:p>
    <w:p w14:paraId="2BF4DA44" w14:textId="5A1C1BEC" w:rsidR="00690AAD" w:rsidRPr="00690AAD" w:rsidRDefault="00690AAD" w:rsidP="00690AAD">
      <w:pPr>
        <w:wordWrap w:val="0"/>
        <w:spacing w:line="300" w:lineRule="auto"/>
        <w:ind w:right="459"/>
        <w:jc w:val="right"/>
        <w:rPr>
          <w:rFonts w:ascii="楷体_GB2312" w:eastAsia="楷体_GB2312" w:hAnsi="宋体" w:hint="eastAsia"/>
          <w:b/>
          <w:bCs/>
          <w:sz w:val="18"/>
          <w:szCs w:val="18"/>
          <w14:ligatures w14:val="standardContextual"/>
        </w:rPr>
      </w:pPr>
      <w:r w:rsidRPr="00690AAD">
        <w:rPr>
          <w:rFonts w:ascii="楷体_GB2312" w:eastAsia="楷体_GB2312" w:hAnsi="宋体" w:hint="eastAsia"/>
          <w:sz w:val="24"/>
        </w:rPr>
        <w:t xml:space="preserve">基准日：2025年3月31日 </w:t>
      </w:r>
      <w:r>
        <w:rPr>
          <w:rFonts w:ascii="楷体_GB2312" w:eastAsia="楷体_GB2312" w:hAnsi="宋体" w:hint="eastAsia"/>
          <w:sz w:val="24"/>
        </w:rPr>
        <w:t xml:space="preserve">                       </w:t>
      </w:r>
      <w:r w:rsidRPr="00690AAD">
        <w:rPr>
          <w:rFonts w:ascii="楷体_GB2312" w:eastAsia="楷体_GB2312" w:hAnsi="宋体" w:hint="eastAsia"/>
          <w:sz w:val="24"/>
        </w:rPr>
        <w:t xml:space="preserve">  </w:t>
      </w:r>
      <w:r>
        <w:rPr>
          <w:rFonts w:ascii="楷体_GB2312" w:eastAsia="楷体_GB2312" w:hAnsi="宋体" w:hint="eastAsia"/>
          <w:sz w:val="24"/>
        </w:rPr>
        <w:t>单位：人民币</w:t>
      </w:r>
      <w:r w:rsidRPr="00690AAD">
        <w:rPr>
          <w:rFonts w:ascii="楷体_GB2312" w:eastAsia="楷体_GB2312" w:hAnsi="宋体" w:hint="eastAsia"/>
          <w:sz w:val="24"/>
        </w:rPr>
        <w:t xml:space="preserve"> </w:t>
      </w:r>
      <w:r w:rsidRPr="00690AAD">
        <w:rPr>
          <w:rFonts w:ascii="楷体_GB2312" w:eastAsia="楷体_GB2312" w:hAnsi="宋体" w:hint="eastAsia"/>
          <w:sz w:val="24"/>
        </w:rPr>
        <w:t>元</w:t>
      </w:r>
    </w:p>
    <w:tbl>
      <w:tblPr>
        <w:tblStyle w:val="ac"/>
        <w:tblW w:w="5779" w:type="pct"/>
        <w:jc w:val="center"/>
        <w:tblInd w:w="-901" w:type="dxa"/>
        <w:tblLook w:val="04A0" w:firstRow="1" w:lastRow="0" w:firstColumn="1" w:lastColumn="0" w:noHBand="0" w:noVBand="1"/>
      </w:tblPr>
      <w:tblGrid>
        <w:gridCol w:w="562"/>
        <w:gridCol w:w="1118"/>
        <w:gridCol w:w="1698"/>
        <w:gridCol w:w="1592"/>
        <w:gridCol w:w="1592"/>
        <w:gridCol w:w="1275"/>
        <w:gridCol w:w="2013"/>
      </w:tblGrid>
      <w:tr w:rsidR="00690AAD" w:rsidRPr="00690AAD" w14:paraId="396F9764" w14:textId="77777777" w:rsidTr="00CE5E39">
        <w:trPr>
          <w:trHeight w:val="70"/>
          <w:tblHeader/>
          <w:jc w:val="center"/>
        </w:trPr>
        <w:tc>
          <w:tcPr>
            <w:tcW w:w="318" w:type="pct"/>
            <w:vAlign w:val="center"/>
          </w:tcPr>
          <w:p w14:paraId="6B663AE4"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序号</w:t>
            </w:r>
          </w:p>
        </w:tc>
        <w:tc>
          <w:tcPr>
            <w:tcW w:w="600" w:type="pct"/>
            <w:vAlign w:val="center"/>
          </w:tcPr>
          <w:p w14:paraId="4BEE3503"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债务人</w:t>
            </w:r>
          </w:p>
        </w:tc>
        <w:tc>
          <w:tcPr>
            <w:tcW w:w="838" w:type="pct"/>
            <w:vAlign w:val="center"/>
          </w:tcPr>
          <w:p w14:paraId="0C749B6B"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本金余额</w:t>
            </w:r>
          </w:p>
        </w:tc>
        <w:tc>
          <w:tcPr>
            <w:tcW w:w="709" w:type="pct"/>
            <w:vAlign w:val="center"/>
          </w:tcPr>
          <w:p w14:paraId="707B1DDA"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利息余额</w:t>
            </w:r>
          </w:p>
        </w:tc>
        <w:tc>
          <w:tcPr>
            <w:tcW w:w="801" w:type="pct"/>
            <w:vAlign w:val="center"/>
          </w:tcPr>
          <w:p w14:paraId="3E352710"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罚息余额</w:t>
            </w:r>
          </w:p>
        </w:tc>
        <w:tc>
          <w:tcPr>
            <w:tcW w:w="672" w:type="pct"/>
            <w:vAlign w:val="center"/>
          </w:tcPr>
          <w:p w14:paraId="182855D3"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垫付费用余额</w:t>
            </w:r>
          </w:p>
        </w:tc>
        <w:tc>
          <w:tcPr>
            <w:tcW w:w="1062" w:type="pct"/>
            <w:vAlign w:val="center"/>
          </w:tcPr>
          <w:p w14:paraId="5E713E4A" w14:textId="77777777" w:rsidR="00690AAD" w:rsidRPr="00690AAD" w:rsidRDefault="00690AAD" w:rsidP="00CE5E39">
            <w:pPr>
              <w:spacing w:line="280" w:lineRule="exact"/>
              <w:jc w:val="center"/>
              <w:rPr>
                <w:rFonts w:ascii="楷体_GB2312" w:eastAsia="楷体_GB2312" w:hAnsi="宋体" w:hint="eastAsia"/>
                <w:b/>
                <w:bCs/>
                <w:szCs w:val="21"/>
              </w:rPr>
            </w:pPr>
            <w:r w:rsidRPr="00690AAD">
              <w:rPr>
                <w:rFonts w:ascii="楷体_GB2312" w:eastAsia="楷体_GB2312" w:hAnsi="宋体" w:hint="eastAsia"/>
                <w:b/>
                <w:bCs/>
                <w:szCs w:val="21"/>
              </w:rPr>
              <w:t>保证人</w:t>
            </w:r>
          </w:p>
        </w:tc>
      </w:tr>
      <w:tr w:rsidR="00690AAD" w:rsidRPr="00690AAD" w14:paraId="44D8E6A0" w14:textId="77777777" w:rsidTr="00CE5E39">
        <w:trPr>
          <w:trHeight w:val="56"/>
          <w:jc w:val="center"/>
        </w:trPr>
        <w:tc>
          <w:tcPr>
            <w:tcW w:w="318" w:type="pct"/>
            <w:vMerge w:val="restart"/>
            <w:vAlign w:val="center"/>
          </w:tcPr>
          <w:p w14:paraId="090FB07F"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1</w:t>
            </w:r>
          </w:p>
        </w:tc>
        <w:tc>
          <w:tcPr>
            <w:tcW w:w="600" w:type="pct"/>
            <w:vMerge w:val="restart"/>
            <w:vAlign w:val="center"/>
          </w:tcPr>
          <w:p w14:paraId="39F2B175"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山东华轮实业有限公司</w:t>
            </w:r>
          </w:p>
        </w:tc>
        <w:tc>
          <w:tcPr>
            <w:tcW w:w="838" w:type="pct"/>
            <w:vAlign w:val="center"/>
          </w:tcPr>
          <w:p w14:paraId="2E8EAD9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29,677,671.66 </w:t>
            </w:r>
          </w:p>
        </w:tc>
        <w:tc>
          <w:tcPr>
            <w:tcW w:w="709" w:type="pct"/>
            <w:vAlign w:val="center"/>
          </w:tcPr>
          <w:p w14:paraId="32A7779E"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8,485,631.65 </w:t>
            </w:r>
          </w:p>
        </w:tc>
        <w:tc>
          <w:tcPr>
            <w:tcW w:w="801" w:type="pct"/>
            <w:vAlign w:val="center"/>
          </w:tcPr>
          <w:p w14:paraId="5DA4AD7B"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11,690,260.07 </w:t>
            </w:r>
          </w:p>
        </w:tc>
        <w:tc>
          <w:tcPr>
            <w:tcW w:w="672" w:type="pct"/>
            <w:vAlign w:val="center"/>
          </w:tcPr>
          <w:p w14:paraId="11A033A9"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0.00 </w:t>
            </w:r>
          </w:p>
        </w:tc>
        <w:tc>
          <w:tcPr>
            <w:tcW w:w="1062" w:type="pct"/>
            <w:vMerge w:val="restart"/>
            <w:vAlign w:val="center"/>
          </w:tcPr>
          <w:p w14:paraId="49EA840E"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szCs w:val="21"/>
              </w:rPr>
              <w:t>山东中一橡胶有限公司、尤学军</w:t>
            </w:r>
          </w:p>
        </w:tc>
      </w:tr>
      <w:tr w:rsidR="00690AAD" w:rsidRPr="00690AAD" w14:paraId="573D6048" w14:textId="77777777" w:rsidTr="00CE5E39">
        <w:trPr>
          <w:trHeight w:val="56"/>
          <w:jc w:val="center"/>
        </w:trPr>
        <w:tc>
          <w:tcPr>
            <w:tcW w:w="318" w:type="pct"/>
            <w:vMerge/>
            <w:vAlign w:val="center"/>
          </w:tcPr>
          <w:p w14:paraId="50146449" w14:textId="77777777" w:rsidR="00690AAD" w:rsidRPr="00690AAD" w:rsidRDefault="00690AAD" w:rsidP="00CE5E39">
            <w:pPr>
              <w:spacing w:line="280" w:lineRule="exact"/>
              <w:jc w:val="center"/>
              <w:rPr>
                <w:rFonts w:ascii="楷体_GB2312" w:eastAsia="楷体_GB2312" w:hAnsi="宋体" w:hint="eastAsia"/>
                <w:bCs/>
                <w:szCs w:val="21"/>
              </w:rPr>
            </w:pPr>
          </w:p>
        </w:tc>
        <w:tc>
          <w:tcPr>
            <w:tcW w:w="600" w:type="pct"/>
            <w:vMerge/>
            <w:vAlign w:val="center"/>
          </w:tcPr>
          <w:p w14:paraId="39582E65" w14:textId="77777777" w:rsidR="00690AAD" w:rsidRPr="00690AAD" w:rsidRDefault="00690AAD" w:rsidP="00CE5E39">
            <w:pPr>
              <w:spacing w:line="280" w:lineRule="exact"/>
              <w:jc w:val="center"/>
              <w:rPr>
                <w:rFonts w:ascii="楷体_GB2312" w:eastAsia="楷体_GB2312" w:hAnsi="宋体" w:hint="eastAsia"/>
                <w:szCs w:val="21"/>
              </w:rPr>
            </w:pPr>
          </w:p>
        </w:tc>
        <w:tc>
          <w:tcPr>
            <w:tcW w:w="838" w:type="pct"/>
            <w:vAlign w:val="center"/>
          </w:tcPr>
          <w:p w14:paraId="06F8A56C"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20,000,000.00 </w:t>
            </w:r>
          </w:p>
        </w:tc>
        <w:tc>
          <w:tcPr>
            <w:tcW w:w="709" w:type="pct"/>
            <w:vAlign w:val="center"/>
          </w:tcPr>
          <w:p w14:paraId="0BEED3B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5,672,423.61 </w:t>
            </w:r>
          </w:p>
        </w:tc>
        <w:tc>
          <w:tcPr>
            <w:tcW w:w="801" w:type="pct"/>
            <w:vAlign w:val="center"/>
          </w:tcPr>
          <w:p w14:paraId="643CBECA"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7,863,435.45 </w:t>
            </w:r>
          </w:p>
        </w:tc>
        <w:tc>
          <w:tcPr>
            <w:tcW w:w="672" w:type="pct"/>
            <w:vAlign w:val="center"/>
          </w:tcPr>
          <w:p w14:paraId="097024C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0.00 </w:t>
            </w:r>
          </w:p>
        </w:tc>
        <w:tc>
          <w:tcPr>
            <w:tcW w:w="1062" w:type="pct"/>
            <w:vMerge/>
            <w:vAlign w:val="center"/>
          </w:tcPr>
          <w:p w14:paraId="2E3F8E28" w14:textId="77777777" w:rsidR="00690AAD" w:rsidRPr="00690AAD" w:rsidRDefault="00690AAD" w:rsidP="00CE5E39">
            <w:pPr>
              <w:spacing w:line="280" w:lineRule="exact"/>
              <w:jc w:val="center"/>
              <w:rPr>
                <w:rFonts w:ascii="楷体_GB2312" w:eastAsia="楷体_GB2312" w:hAnsi="宋体" w:hint="eastAsia"/>
                <w:bCs/>
                <w:szCs w:val="21"/>
              </w:rPr>
            </w:pPr>
          </w:p>
        </w:tc>
      </w:tr>
      <w:tr w:rsidR="00690AAD" w:rsidRPr="00690AAD" w14:paraId="1C9B942E" w14:textId="77777777" w:rsidTr="00CE5E39">
        <w:trPr>
          <w:trHeight w:val="77"/>
          <w:jc w:val="center"/>
        </w:trPr>
        <w:tc>
          <w:tcPr>
            <w:tcW w:w="318" w:type="pct"/>
            <w:vAlign w:val="center"/>
          </w:tcPr>
          <w:p w14:paraId="68A39C7F"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2</w:t>
            </w:r>
          </w:p>
        </w:tc>
        <w:tc>
          <w:tcPr>
            <w:tcW w:w="600" w:type="pct"/>
            <w:vAlign w:val="center"/>
          </w:tcPr>
          <w:p w14:paraId="67B79504"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山东隆源橡胶有限公司</w:t>
            </w:r>
          </w:p>
        </w:tc>
        <w:tc>
          <w:tcPr>
            <w:tcW w:w="838" w:type="pct"/>
            <w:vAlign w:val="center"/>
          </w:tcPr>
          <w:p w14:paraId="08DCB55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14,500,000.00 </w:t>
            </w:r>
          </w:p>
        </w:tc>
        <w:tc>
          <w:tcPr>
            <w:tcW w:w="709" w:type="pct"/>
            <w:vAlign w:val="center"/>
          </w:tcPr>
          <w:p w14:paraId="162579E3"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745,138.89 </w:t>
            </w:r>
          </w:p>
        </w:tc>
        <w:tc>
          <w:tcPr>
            <w:tcW w:w="801" w:type="pct"/>
            <w:vAlign w:val="center"/>
          </w:tcPr>
          <w:p w14:paraId="36C1C48B"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3,073,943.56 </w:t>
            </w:r>
          </w:p>
        </w:tc>
        <w:tc>
          <w:tcPr>
            <w:tcW w:w="672" w:type="pct"/>
            <w:vAlign w:val="center"/>
          </w:tcPr>
          <w:p w14:paraId="429DE27C"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0.00 </w:t>
            </w:r>
          </w:p>
        </w:tc>
        <w:tc>
          <w:tcPr>
            <w:tcW w:w="1062" w:type="pct"/>
            <w:vAlign w:val="center"/>
          </w:tcPr>
          <w:p w14:paraId="3E068EA8"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szCs w:val="21"/>
              </w:rPr>
              <w:t>山东圣光化工集团有限公司、山东龙德置业有限公司、禹学尧、杨爱英</w:t>
            </w:r>
          </w:p>
        </w:tc>
      </w:tr>
      <w:tr w:rsidR="00690AAD" w:rsidRPr="00690AAD" w14:paraId="38B3741F" w14:textId="77777777" w:rsidTr="00CE5E39">
        <w:trPr>
          <w:jc w:val="center"/>
        </w:trPr>
        <w:tc>
          <w:tcPr>
            <w:tcW w:w="318" w:type="pct"/>
            <w:vAlign w:val="center"/>
          </w:tcPr>
          <w:p w14:paraId="179077B0"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3</w:t>
            </w:r>
          </w:p>
        </w:tc>
        <w:tc>
          <w:tcPr>
            <w:tcW w:w="600" w:type="pct"/>
            <w:vAlign w:val="center"/>
          </w:tcPr>
          <w:p w14:paraId="1C4C5FA6"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山东大王实业股份有限公司</w:t>
            </w:r>
          </w:p>
        </w:tc>
        <w:tc>
          <w:tcPr>
            <w:tcW w:w="838" w:type="pct"/>
            <w:vAlign w:val="center"/>
          </w:tcPr>
          <w:p w14:paraId="38FE2C6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28,800,000.00 </w:t>
            </w:r>
          </w:p>
        </w:tc>
        <w:tc>
          <w:tcPr>
            <w:tcW w:w="709" w:type="pct"/>
            <w:vAlign w:val="center"/>
          </w:tcPr>
          <w:p w14:paraId="09FB82F5"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1,546,560.00 </w:t>
            </w:r>
          </w:p>
        </w:tc>
        <w:tc>
          <w:tcPr>
            <w:tcW w:w="801" w:type="pct"/>
            <w:vAlign w:val="center"/>
          </w:tcPr>
          <w:p w14:paraId="10DBA24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6,582,385.84 </w:t>
            </w:r>
          </w:p>
        </w:tc>
        <w:tc>
          <w:tcPr>
            <w:tcW w:w="672" w:type="pct"/>
            <w:vAlign w:val="center"/>
          </w:tcPr>
          <w:p w14:paraId="54EE781B"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228,233.00 </w:t>
            </w:r>
          </w:p>
        </w:tc>
        <w:tc>
          <w:tcPr>
            <w:tcW w:w="1062" w:type="pct"/>
            <w:vAlign w:val="center"/>
          </w:tcPr>
          <w:p w14:paraId="5B82819E"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szCs w:val="21"/>
              </w:rPr>
              <w:t>山东宏盛橡胶有限公司、李晓亮、庞丽</w:t>
            </w:r>
          </w:p>
        </w:tc>
      </w:tr>
      <w:tr w:rsidR="00690AAD" w:rsidRPr="00690AAD" w14:paraId="5C9393ED" w14:textId="77777777" w:rsidTr="00CE5E39">
        <w:trPr>
          <w:jc w:val="center"/>
        </w:trPr>
        <w:tc>
          <w:tcPr>
            <w:tcW w:w="318" w:type="pct"/>
            <w:vAlign w:val="center"/>
          </w:tcPr>
          <w:p w14:paraId="577AAE6A"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4</w:t>
            </w:r>
          </w:p>
        </w:tc>
        <w:tc>
          <w:tcPr>
            <w:tcW w:w="600" w:type="pct"/>
            <w:vAlign w:val="center"/>
          </w:tcPr>
          <w:p w14:paraId="1881FA97"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山东水衡化工有限责任公司</w:t>
            </w:r>
          </w:p>
        </w:tc>
        <w:tc>
          <w:tcPr>
            <w:tcW w:w="838" w:type="pct"/>
            <w:vAlign w:val="center"/>
          </w:tcPr>
          <w:p w14:paraId="4D7743C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12,000,000.00 </w:t>
            </w:r>
          </w:p>
        </w:tc>
        <w:tc>
          <w:tcPr>
            <w:tcW w:w="709" w:type="pct"/>
            <w:vAlign w:val="center"/>
          </w:tcPr>
          <w:p w14:paraId="737009B9"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2,320,374.99 </w:t>
            </w:r>
          </w:p>
        </w:tc>
        <w:tc>
          <w:tcPr>
            <w:tcW w:w="801" w:type="pct"/>
            <w:vAlign w:val="center"/>
          </w:tcPr>
          <w:p w14:paraId="2C31F5A5"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1,697,246.23 </w:t>
            </w:r>
          </w:p>
        </w:tc>
        <w:tc>
          <w:tcPr>
            <w:tcW w:w="672" w:type="pct"/>
            <w:vAlign w:val="center"/>
          </w:tcPr>
          <w:p w14:paraId="13A982F3"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132,529.00 </w:t>
            </w:r>
          </w:p>
        </w:tc>
        <w:tc>
          <w:tcPr>
            <w:tcW w:w="1062" w:type="pct"/>
            <w:vAlign w:val="center"/>
          </w:tcPr>
          <w:p w14:paraId="69116D1B"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szCs w:val="21"/>
              </w:rPr>
              <w:t>东营市诺尔化工有限责任公司、牛爱辉、崔红岩</w:t>
            </w:r>
          </w:p>
        </w:tc>
      </w:tr>
      <w:tr w:rsidR="00690AAD" w:rsidRPr="00690AAD" w14:paraId="42714947" w14:textId="77777777" w:rsidTr="00CE5E39">
        <w:trPr>
          <w:jc w:val="center"/>
        </w:trPr>
        <w:tc>
          <w:tcPr>
            <w:tcW w:w="318" w:type="pct"/>
            <w:vAlign w:val="center"/>
          </w:tcPr>
          <w:p w14:paraId="249ED340"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5</w:t>
            </w:r>
          </w:p>
        </w:tc>
        <w:tc>
          <w:tcPr>
            <w:tcW w:w="600" w:type="pct"/>
            <w:vAlign w:val="center"/>
          </w:tcPr>
          <w:p w14:paraId="7C1B0428"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东营正和</w:t>
            </w:r>
            <w:proofErr w:type="gramStart"/>
            <w:r w:rsidRPr="00690AAD">
              <w:rPr>
                <w:rFonts w:ascii="楷体_GB2312" w:eastAsia="楷体_GB2312" w:hAnsi="宋体" w:hint="eastAsia"/>
                <w:szCs w:val="21"/>
              </w:rPr>
              <w:t>木业</w:t>
            </w:r>
            <w:proofErr w:type="gramEnd"/>
            <w:r w:rsidRPr="00690AAD">
              <w:rPr>
                <w:rFonts w:ascii="楷体_GB2312" w:eastAsia="楷体_GB2312" w:hAnsi="宋体" w:hint="eastAsia"/>
                <w:szCs w:val="21"/>
              </w:rPr>
              <w:t>有限公司</w:t>
            </w:r>
          </w:p>
        </w:tc>
        <w:tc>
          <w:tcPr>
            <w:tcW w:w="838" w:type="pct"/>
            <w:vAlign w:val="center"/>
          </w:tcPr>
          <w:p w14:paraId="337B5E6E"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46,000,000.00 </w:t>
            </w:r>
          </w:p>
        </w:tc>
        <w:tc>
          <w:tcPr>
            <w:tcW w:w="709" w:type="pct"/>
            <w:vAlign w:val="center"/>
          </w:tcPr>
          <w:p w14:paraId="1EE26B05" w14:textId="77777777" w:rsidR="00690AAD" w:rsidRPr="00690AAD" w:rsidRDefault="00690AAD" w:rsidP="00CE5E39">
            <w:pPr>
              <w:jc w:val="center"/>
              <w:rPr>
                <w:rFonts w:ascii="楷体_GB2312" w:eastAsia="楷体_GB2312" w:hAnsi="宋体" w:cs="宋体" w:hint="eastAsia"/>
                <w:szCs w:val="21"/>
              </w:rPr>
            </w:pPr>
            <w:r w:rsidRPr="00690AAD">
              <w:rPr>
                <w:rFonts w:ascii="楷体_GB2312" w:eastAsia="楷体_GB2312" w:hAnsi="宋体" w:hint="eastAsia"/>
                <w:szCs w:val="21"/>
              </w:rPr>
              <w:t xml:space="preserve">9,148,192.49 </w:t>
            </w:r>
          </w:p>
        </w:tc>
        <w:tc>
          <w:tcPr>
            <w:tcW w:w="801" w:type="pct"/>
            <w:vAlign w:val="center"/>
          </w:tcPr>
          <w:p w14:paraId="6F30561C" w14:textId="77777777" w:rsidR="00690AAD" w:rsidRPr="00690AAD" w:rsidRDefault="00690AAD" w:rsidP="00CE5E39">
            <w:pPr>
              <w:jc w:val="center"/>
              <w:rPr>
                <w:rFonts w:ascii="楷体_GB2312" w:eastAsia="楷体_GB2312" w:hAnsi="宋体" w:cs="宋体" w:hint="eastAsia"/>
                <w:szCs w:val="21"/>
              </w:rPr>
            </w:pPr>
            <w:r w:rsidRPr="00690AAD">
              <w:rPr>
                <w:rFonts w:ascii="楷体_GB2312" w:eastAsia="楷体_GB2312" w:hAnsi="宋体" w:hint="eastAsia"/>
                <w:szCs w:val="21"/>
              </w:rPr>
              <w:t xml:space="preserve">8,532,918.59 </w:t>
            </w:r>
          </w:p>
        </w:tc>
        <w:tc>
          <w:tcPr>
            <w:tcW w:w="672" w:type="pct"/>
            <w:vAlign w:val="center"/>
          </w:tcPr>
          <w:p w14:paraId="2C647253" w14:textId="77777777" w:rsidR="00690AAD" w:rsidRPr="00690AAD" w:rsidRDefault="00690AAD" w:rsidP="00CE5E39">
            <w:pPr>
              <w:jc w:val="center"/>
              <w:rPr>
                <w:rFonts w:ascii="楷体_GB2312" w:eastAsia="楷体_GB2312" w:hAnsi="宋体" w:cs="宋体" w:hint="eastAsia"/>
                <w:szCs w:val="21"/>
              </w:rPr>
            </w:pPr>
            <w:r w:rsidRPr="00690AAD">
              <w:rPr>
                <w:rFonts w:ascii="楷体_GB2312" w:eastAsia="楷体_GB2312" w:hAnsi="宋体" w:hint="eastAsia"/>
                <w:szCs w:val="21"/>
              </w:rPr>
              <w:t xml:space="preserve">0.00 </w:t>
            </w:r>
          </w:p>
        </w:tc>
        <w:tc>
          <w:tcPr>
            <w:tcW w:w="1062" w:type="pct"/>
            <w:vAlign w:val="center"/>
          </w:tcPr>
          <w:p w14:paraId="2482A143"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山东龙源石油化工有限责任公司、秦金玲、刘保卫</w:t>
            </w:r>
          </w:p>
        </w:tc>
      </w:tr>
      <w:tr w:rsidR="00690AAD" w:rsidRPr="00690AAD" w14:paraId="609358D8" w14:textId="77777777" w:rsidTr="00CE5E39">
        <w:trPr>
          <w:jc w:val="center"/>
        </w:trPr>
        <w:tc>
          <w:tcPr>
            <w:tcW w:w="318" w:type="pct"/>
            <w:vAlign w:val="center"/>
          </w:tcPr>
          <w:p w14:paraId="0F14FCA4"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lastRenderedPageBreak/>
              <w:t>6</w:t>
            </w:r>
          </w:p>
        </w:tc>
        <w:tc>
          <w:tcPr>
            <w:tcW w:w="600" w:type="pct"/>
            <w:vAlign w:val="center"/>
          </w:tcPr>
          <w:p w14:paraId="332CDCD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山东恒宇科技有限公司</w:t>
            </w:r>
          </w:p>
        </w:tc>
        <w:tc>
          <w:tcPr>
            <w:tcW w:w="838" w:type="pct"/>
            <w:vAlign w:val="center"/>
          </w:tcPr>
          <w:p w14:paraId="5B2220D1"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45,520,495.22 </w:t>
            </w:r>
          </w:p>
        </w:tc>
        <w:tc>
          <w:tcPr>
            <w:tcW w:w="709" w:type="pct"/>
            <w:vAlign w:val="center"/>
          </w:tcPr>
          <w:p w14:paraId="4751C88B"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3,939,020.25 </w:t>
            </w:r>
          </w:p>
        </w:tc>
        <w:tc>
          <w:tcPr>
            <w:tcW w:w="801" w:type="pct"/>
            <w:vAlign w:val="center"/>
          </w:tcPr>
          <w:p w14:paraId="27875570"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13,738,587.82 </w:t>
            </w:r>
          </w:p>
        </w:tc>
        <w:tc>
          <w:tcPr>
            <w:tcW w:w="672" w:type="pct"/>
            <w:vAlign w:val="center"/>
          </w:tcPr>
          <w:p w14:paraId="0DE57478"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0.00 </w:t>
            </w:r>
          </w:p>
        </w:tc>
        <w:tc>
          <w:tcPr>
            <w:tcW w:w="1062" w:type="pct"/>
            <w:vAlign w:val="center"/>
          </w:tcPr>
          <w:p w14:paraId="36B1DDB6"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山东宏盛橡胶有限公司、田家礼、刘卫红</w:t>
            </w:r>
          </w:p>
        </w:tc>
      </w:tr>
      <w:tr w:rsidR="00690AAD" w:rsidRPr="00690AAD" w14:paraId="44175758" w14:textId="77777777" w:rsidTr="00CE5E39">
        <w:trPr>
          <w:jc w:val="center"/>
        </w:trPr>
        <w:tc>
          <w:tcPr>
            <w:tcW w:w="318" w:type="pct"/>
            <w:vAlign w:val="center"/>
          </w:tcPr>
          <w:p w14:paraId="0FC44C7C"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7</w:t>
            </w:r>
          </w:p>
        </w:tc>
        <w:tc>
          <w:tcPr>
            <w:tcW w:w="600" w:type="pct"/>
            <w:vAlign w:val="center"/>
          </w:tcPr>
          <w:p w14:paraId="78B6E7BE"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山东恒宇橡胶有限公司</w:t>
            </w:r>
          </w:p>
        </w:tc>
        <w:tc>
          <w:tcPr>
            <w:tcW w:w="838" w:type="pct"/>
            <w:vAlign w:val="center"/>
          </w:tcPr>
          <w:p w14:paraId="1BE554CB"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27,312,297.14 </w:t>
            </w:r>
          </w:p>
        </w:tc>
        <w:tc>
          <w:tcPr>
            <w:tcW w:w="709" w:type="pct"/>
            <w:vAlign w:val="center"/>
          </w:tcPr>
          <w:p w14:paraId="47F2B175"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2,363,412.15 </w:t>
            </w:r>
          </w:p>
        </w:tc>
        <w:tc>
          <w:tcPr>
            <w:tcW w:w="801" w:type="pct"/>
            <w:vAlign w:val="center"/>
          </w:tcPr>
          <w:p w14:paraId="448EBACF"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8,245,264.41 </w:t>
            </w:r>
          </w:p>
        </w:tc>
        <w:tc>
          <w:tcPr>
            <w:tcW w:w="672" w:type="pct"/>
            <w:vAlign w:val="center"/>
          </w:tcPr>
          <w:p w14:paraId="32A160DB"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0.00 </w:t>
            </w:r>
          </w:p>
        </w:tc>
        <w:tc>
          <w:tcPr>
            <w:tcW w:w="1062" w:type="pct"/>
            <w:vAlign w:val="center"/>
          </w:tcPr>
          <w:p w14:paraId="740D7A3C"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山东宏盛橡胶有限公司、田家礼、刘卫红</w:t>
            </w:r>
          </w:p>
        </w:tc>
      </w:tr>
      <w:tr w:rsidR="00690AAD" w:rsidRPr="00690AAD" w14:paraId="1944B5F9" w14:textId="77777777" w:rsidTr="00CE5E39">
        <w:trPr>
          <w:jc w:val="center"/>
        </w:trPr>
        <w:tc>
          <w:tcPr>
            <w:tcW w:w="318" w:type="pct"/>
            <w:vAlign w:val="center"/>
          </w:tcPr>
          <w:p w14:paraId="4E7E9513"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8</w:t>
            </w:r>
          </w:p>
        </w:tc>
        <w:tc>
          <w:tcPr>
            <w:tcW w:w="600" w:type="pct"/>
            <w:vAlign w:val="center"/>
          </w:tcPr>
          <w:p w14:paraId="6929C60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路通建设集团股份有限公司</w:t>
            </w:r>
          </w:p>
        </w:tc>
        <w:tc>
          <w:tcPr>
            <w:tcW w:w="838" w:type="pct"/>
            <w:vAlign w:val="center"/>
          </w:tcPr>
          <w:p w14:paraId="029EE95E"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27,000,000.00 </w:t>
            </w:r>
          </w:p>
        </w:tc>
        <w:tc>
          <w:tcPr>
            <w:tcW w:w="709" w:type="pct"/>
            <w:vAlign w:val="center"/>
          </w:tcPr>
          <w:p w14:paraId="256B6110"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2,838,795.93 </w:t>
            </w:r>
          </w:p>
        </w:tc>
        <w:tc>
          <w:tcPr>
            <w:tcW w:w="801" w:type="pct"/>
            <w:vAlign w:val="center"/>
          </w:tcPr>
          <w:p w14:paraId="23777936"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5,652,296.39</w:t>
            </w:r>
          </w:p>
        </w:tc>
        <w:tc>
          <w:tcPr>
            <w:tcW w:w="672" w:type="pct"/>
            <w:vAlign w:val="center"/>
          </w:tcPr>
          <w:p w14:paraId="3971C14B"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25,000.00</w:t>
            </w:r>
          </w:p>
        </w:tc>
        <w:tc>
          <w:tcPr>
            <w:tcW w:w="1062" w:type="pct"/>
            <w:vAlign w:val="center"/>
          </w:tcPr>
          <w:p w14:paraId="5C112852"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bCs/>
                <w:szCs w:val="21"/>
              </w:rPr>
              <w:t>山东胜龙石油有限公司、山东富通管桩有限公司、杨强、</w:t>
            </w:r>
            <w:proofErr w:type="gramStart"/>
            <w:r w:rsidRPr="00690AAD">
              <w:rPr>
                <w:rFonts w:ascii="楷体_GB2312" w:eastAsia="楷体_GB2312" w:hAnsi="宋体" w:hint="eastAsia"/>
                <w:bCs/>
                <w:szCs w:val="21"/>
              </w:rPr>
              <w:t>蔡</w:t>
            </w:r>
            <w:proofErr w:type="gramEnd"/>
            <w:r w:rsidRPr="00690AAD">
              <w:rPr>
                <w:rFonts w:ascii="楷体_GB2312" w:eastAsia="楷体_GB2312" w:hAnsi="宋体" w:hint="eastAsia"/>
                <w:bCs/>
                <w:szCs w:val="21"/>
              </w:rPr>
              <w:t>静静</w:t>
            </w:r>
          </w:p>
        </w:tc>
      </w:tr>
      <w:tr w:rsidR="00690AAD" w:rsidRPr="00690AAD" w14:paraId="577DAFAF" w14:textId="77777777" w:rsidTr="00CE5E39">
        <w:trPr>
          <w:jc w:val="center"/>
        </w:trPr>
        <w:tc>
          <w:tcPr>
            <w:tcW w:w="318" w:type="pct"/>
            <w:vAlign w:val="center"/>
          </w:tcPr>
          <w:p w14:paraId="7C05BF4F"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9</w:t>
            </w:r>
          </w:p>
        </w:tc>
        <w:tc>
          <w:tcPr>
            <w:tcW w:w="600" w:type="pct"/>
            <w:vAlign w:val="center"/>
          </w:tcPr>
          <w:p w14:paraId="03894033"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东营市黄海轮胎有限公司</w:t>
            </w:r>
          </w:p>
        </w:tc>
        <w:tc>
          <w:tcPr>
            <w:tcW w:w="838" w:type="pct"/>
            <w:vAlign w:val="center"/>
          </w:tcPr>
          <w:p w14:paraId="437099CD"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19,950,000.00 </w:t>
            </w:r>
          </w:p>
        </w:tc>
        <w:tc>
          <w:tcPr>
            <w:tcW w:w="709" w:type="pct"/>
            <w:vAlign w:val="center"/>
          </w:tcPr>
          <w:p w14:paraId="51C92CEE"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2,952,068.00 </w:t>
            </w:r>
          </w:p>
        </w:tc>
        <w:tc>
          <w:tcPr>
            <w:tcW w:w="801" w:type="pct"/>
            <w:vAlign w:val="center"/>
          </w:tcPr>
          <w:p w14:paraId="2DCD9009"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4,318,677.02 </w:t>
            </w:r>
          </w:p>
        </w:tc>
        <w:tc>
          <w:tcPr>
            <w:tcW w:w="672" w:type="pct"/>
            <w:vAlign w:val="center"/>
          </w:tcPr>
          <w:p w14:paraId="421B807C" w14:textId="77777777" w:rsidR="00690AAD" w:rsidRPr="00690AAD" w:rsidRDefault="00690AAD" w:rsidP="00CE5E39">
            <w:pPr>
              <w:jc w:val="center"/>
              <w:rPr>
                <w:rFonts w:ascii="楷体_GB2312" w:eastAsia="楷体_GB2312" w:hAnsi="宋体" w:hint="eastAsia"/>
                <w:szCs w:val="21"/>
              </w:rPr>
            </w:pPr>
            <w:r w:rsidRPr="00690AAD">
              <w:rPr>
                <w:rFonts w:ascii="楷体_GB2312" w:eastAsia="楷体_GB2312" w:hAnsi="宋体" w:hint="eastAsia"/>
                <w:szCs w:val="21"/>
              </w:rPr>
              <w:t xml:space="preserve">25,000.00 </w:t>
            </w:r>
          </w:p>
        </w:tc>
        <w:tc>
          <w:tcPr>
            <w:tcW w:w="1062" w:type="pct"/>
            <w:vAlign w:val="center"/>
          </w:tcPr>
          <w:p w14:paraId="341CFF5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山东正宇车轮集团有限公司、李培义、王淑兰</w:t>
            </w:r>
          </w:p>
        </w:tc>
      </w:tr>
      <w:tr w:rsidR="00690AAD" w:rsidRPr="00690AAD" w14:paraId="17FA7A1C" w14:textId="77777777" w:rsidTr="00CE5E39">
        <w:trPr>
          <w:jc w:val="center"/>
        </w:trPr>
        <w:tc>
          <w:tcPr>
            <w:tcW w:w="318" w:type="pct"/>
            <w:vAlign w:val="center"/>
          </w:tcPr>
          <w:p w14:paraId="0BC9B40E"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10</w:t>
            </w:r>
          </w:p>
        </w:tc>
        <w:tc>
          <w:tcPr>
            <w:tcW w:w="600" w:type="pct"/>
            <w:vAlign w:val="center"/>
          </w:tcPr>
          <w:p w14:paraId="540D2AA4"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山东合园建设工程有限公司</w:t>
            </w:r>
          </w:p>
        </w:tc>
        <w:tc>
          <w:tcPr>
            <w:tcW w:w="838" w:type="pct"/>
            <w:vAlign w:val="center"/>
          </w:tcPr>
          <w:p w14:paraId="1829C034"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15,000,000.00 </w:t>
            </w:r>
          </w:p>
        </w:tc>
        <w:tc>
          <w:tcPr>
            <w:tcW w:w="709" w:type="pct"/>
            <w:vAlign w:val="center"/>
          </w:tcPr>
          <w:p w14:paraId="14BF5094" w14:textId="77777777" w:rsidR="00690AAD" w:rsidRPr="00690AAD" w:rsidRDefault="00690AAD" w:rsidP="00CE5E39">
            <w:pPr>
              <w:jc w:val="center"/>
              <w:rPr>
                <w:rFonts w:ascii="楷体_GB2312" w:eastAsia="楷体_GB2312" w:hAnsi="宋体" w:hint="eastAsia"/>
                <w:color w:val="000000"/>
                <w:szCs w:val="21"/>
              </w:rPr>
            </w:pPr>
            <w:r w:rsidRPr="00690AAD">
              <w:rPr>
                <w:rFonts w:ascii="楷体_GB2312" w:eastAsia="楷体_GB2312" w:hAnsi="宋体" w:hint="eastAsia"/>
                <w:color w:val="000000"/>
                <w:szCs w:val="21"/>
              </w:rPr>
              <w:t xml:space="preserve">3,337,628.12 </w:t>
            </w:r>
          </w:p>
        </w:tc>
        <w:tc>
          <w:tcPr>
            <w:tcW w:w="801" w:type="pct"/>
            <w:vAlign w:val="center"/>
          </w:tcPr>
          <w:p w14:paraId="0A82EE66" w14:textId="77777777" w:rsidR="00690AAD" w:rsidRPr="00690AAD" w:rsidRDefault="00690AAD" w:rsidP="00CE5E39">
            <w:pPr>
              <w:jc w:val="center"/>
              <w:rPr>
                <w:rFonts w:ascii="楷体_GB2312" w:eastAsia="楷体_GB2312" w:hAnsi="宋体" w:hint="eastAsia"/>
                <w:color w:val="000000"/>
                <w:szCs w:val="21"/>
              </w:rPr>
            </w:pPr>
            <w:r w:rsidRPr="00690AAD">
              <w:rPr>
                <w:rFonts w:ascii="楷体_GB2312" w:eastAsia="楷体_GB2312" w:hAnsi="宋体" w:hint="eastAsia"/>
                <w:color w:val="000000"/>
                <w:szCs w:val="21"/>
              </w:rPr>
              <w:t xml:space="preserve">4,298,124.55 </w:t>
            </w:r>
          </w:p>
        </w:tc>
        <w:tc>
          <w:tcPr>
            <w:tcW w:w="672" w:type="pct"/>
            <w:vAlign w:val="center"/>
          </w:tcPr>
          <w:p w14:paraId="5C006E1C" w14:textId="77777777" w:rsidR="00690AAD" w:rsidRPr="00690AAD" w:rsidRDefault="00690AAD" w:rsidP="00CE5E39">
            <w:pPr>
              <w:jc w:val="center"/>
              <w:rPr>
                <w:rFonts w:ascii="楷体_GB2312" w:eastAsia="楷体_GB2312" w:hAnsi="宋体" w:hint="eastAsia"/>
                <w:color w:val="000000"/>
                <w:szCs w:val="21"/>
              </w:rPr>
            </w:pPr>
            <w:r w:rsidRPr="00690AAD">
              <w:rPr>
                <w:rFonts w:ascii="楷体_GB2312" w:eastAsia="楷体_GB2312" w:hAnsi="宋体" w:hint="eastAsia"/>
                <w:color w:val="000000"/>
                <w:szCs w:val="21"/>
              </w:rPr>
              <w:t xml:space="preserve">25,000.00 </w:t>
            </w:r>
          </w:p>
        </w:tc>
        <w:tc>
          <w:tcPr>
            <w:tcW w:w="1062" w:type="pct"/>
            <w:vAlign w:val="center"/>
          </w:tcPr>
          <w:p w14:paraId="178D04B6"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山东庆祥石油化工有限公司、许长江、杨静</w:t>
            </w:r>
          </w:p>
        </w:tc>
      </w:tr>
      <w:tr w:rsidR="00690AAD" w:rsidRPr="00690AAD" w14:paraId="3573D942" w14:textId="77777777" w:rsidTr="00CE5E39">
        <w:trPr>
          <w:jc w:val="center"/>
        </w:trPr>
        <w:tc>
          <w:tcPr>
            <w:tcW w:w="318" w:type="pct"/>
            <w:vAlign w:val="center"/>
          </w:tcPr>
          <w:p w14:paraId="7F2B3C4A"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11</w:t>
            </w:r>
          </w:p>
        </w:tc>
        <w:tc>
          <w:tcPr>
            <w:tcW w:w="600" w:type="pct"/>
            <w:vAlign w:val="center"/>
          </w:tcPr>
          <w:p w14:paraId="38B4E4F6"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东营市海宁工贸有限责任公司</w:t>
            </w:r>
          </w:p>
        </w:tc>
        <w:tc>
          <w:tcPr>
            <w:tcW w:w="838" w:type="pct"/>
            <w:vAlign w:val="center"/>
          </w:tcPr>
          <w:p w14:paraId="0EC0716F"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11,897,262.00 </w:t>
            </w:r>
          </w:p>
        </w:tc>
        <w:tc>
          <w:tcPr>
            <w:tcW w:w="709" w:type="pct"/>
            <w:vAlign w:val="center"/>
          </w:tcPr>
          <w:p w14:paraId="07CC6E6B" w14:textId="77777777" w:rsidR="00690AAD" w:rsidRPr="00690AAD" w:rsidRDefault="00690AAD" w:rsidP="00CE5E39">
            <w:pPr>
              <w:jc w:val="center"/>
              <w:rPr>
                <w:rFonts w:ascii="楷体_GB2312" w:eastAsia="楷体_GB2312" w:hAnsi="宋体" w:cs="宋体" w:hint="eastAsia"/>
                <w:color w:val="000000"/>
                <w:szCs w:val="21"/>
              </w:rPr>
            </w:pPr>
            <w:r w:rsidRPr="00690AAD">
              <w:rPr>
                <w:rFonts w:ascii="楷体_GB2312" w:eastAsia="楷体_GB2312" w:hAnsi="宋体" w:hint="eastAsia"/>
                <w:color w:val="000000"/>
                <w:szCs w:val="21"/>
              </w:rPr>
              <w:t xml:space="preserve">2,314,833.32 </w:t>
            </w:r>
          </w:p>
        </w:tc>
        <w:tc>
          <w:tcPr>
            <w:tcW w:w="801" w:type="pct"/>
            <w:vAlign w:val="center"/>
          </w:tcPr>
          <w:p w14:paraId="48B4B019" w14:textId="77777777" w:rsidR="00690AAD" w:rsidRPr="00690AAD" w:rsidRDefault="00690AAD" w:rsidP="00CE5E39">
            <w:pPr>
              <w:jc w:val="center"/>
              <w:rPr>
                <w:rFonts w:ascii="楷体_GB2312" w:eastAsia="楷体_GB2312" w:hAnsi="宋体" w:cs="宋体" w:hint="eastAsia"/>
                <w:color w:val="000000"/>
                <w:szCs w:val="21"/>
              </w:rPr>
            </w:pPr>
            <w:r w:rsidRPr="00690AAD">
              <w:rPr>
                <w:rFonts w:ascii="楷体_GB2312" w:eastAsia="楷体_GB2312" w:hAnsi="宋体" w:hint="eastAsia"/>
                <w:color w:val="000000"/>
                <w:szCs w:val="21"/>
              </w:rPr>
              <w:t xml:space="preserve">2,516,572.70 </w:t>
            </w:r>
          </w:p>
        </w:tc>
        <w:tc>
          <w:tcPr>
            <w:tcW w:w="672" w:type="pct"/>
            <w:vAlign w:val="center"/>
          </w:tcPr>
          <w:p w14:paraId="56D495E2" w14:textId="77777777" w:rsidR="00690AAD" w:rsidRPr="00690AAD" w:rsidRDefault="00690AAD" w:rsidP="00CE5E39">
            <w:pPr>
              <w:jc w:val="center"/>
              <w:rPr>
                <w:rFonts w:ascii="楷体_GB2312" w:eastAsia="楷体_GB2312" w:hAnsi="宋体" w:cs="宋体" w:hint="eastAsia"/>
                <w:color w:val="000000"/>
                <w:szCs w:val="21"/>
              </w:rPr>
            </w:pPr>
            <w:r w:rsidRPr="00690AAD">
              <w:rPr>
                <w:rFonts w:ascii="楷体_GB2312" w:eastAsia="楷体_GB2312" w:hAnsi="宋体" w:hint="eastAsia"/>
                <w:color w:val="000000"/>
                <w:szCs w:val="21"/>
              </w:rPr>
              <w:t xml:space="preserve">0.00 </w:t>
            </w:r>
          </w:p>
        </w:tc>
        <w:tc>
          <w:tcPr>
            <w:tcW w:w="1062" w:type="pct"/>
            <w:vAlign w:val="center"/>
          </w:tcPr>
          <w:p w14:paraId="3486E109"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路通建设集团股份有限公司、东营健</w:t>
            </w:r>
            <w:proofErr w:type="gramStart"/>
            <w:r w:rsidRPr="00690AAD">
              <w:rPr>
                <w:rFonts w:ascii="楷体_GB2312" w:eastAsia="楷体_GB2312" w:hAnsi="宋体" w:hint="eastAsia"/>
                <w:szCs w:val="21"/>
              </w:rPr>
              <w:t>宏石油</w:t>
            </w:r>
            <w:proofErr w:type="gramEnd"/>
            <w:r w:rsidRPr="00690AAD">
              <w:rPr>
                <w:rFonts w:ascii="楷体_GB2312" w:eastAsia="楷体_GB2312" w:hAnsi="宋体" w:hint="eastAsia"/>
                <w:szCs w:val="21"/>
              </w:rPr>
              <w:t>技术服务有限公司、苟滨民、张条</w:t>
            </w:r>
          </w:p>
        </w:tc>
      </w:tr>
      <w:tr w:rsidR="00690AAD" w:rsidRPr="00690AAD" w14:paraId="359A9DB3" w14:textId="77777777" w:rsidTr="00CE5E39">
        <w:trPr>
          <w:jc w:val="center"/>
        </w:trPr>
        <w:tc>
          <w:tcPr>
            <w:tcW w:w="318" w:type="pct"/>
            <w:vAlign w:val="center"/>
          </w:tcPr>
          <w:p w14:paraId="38627B4A" w14:textId="77777777" w:rsidR="00690AAD" w:rsidRPr="00690AAD" w:rsidRDefault="00690AAD" w:rsidP="00CE5E39">
            <w:pPr>
              <w:spacing w:line="280" w:lineRule="exact"/>
              <w:jc w:val="center"/>
              <w:rPr>
                <w:rFonts w:ascii="楷体_GB2312" w:eastAsia="楷体_GB2312" w:hAnsi="宋体" w:hint="eastAsia"/>
                <w:bCs/>
                <w:szCs w:val="21"/>
              </w:rPr>
            </w:pPr>
            <w:r w:rsidRPr="00690AAD">
              <w:rPr>
                <w:rFonts w:ascii="楷体_GB2312" w:eastAsia="楷体_GB2312" w:hAnsi="宋体" w:hint="eastAsia"/>
                <w:bCs/>
                <w:szCs w:val="21"/>
              </w:rPr>
              <w:t>12</w:t>
            </w:r>
          </w:p>
        </w:tc>
        <w:tc>
          <w:tcPr>
            <w:tcW w:w="600" w:type="pct"/>
            <w:vAlign w:val="center"/>
          </w:tcPr>
          <w:p w14:paraId="35209635"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szCs w:val="21"/>
              </w:rPr>
              <w:t>东营市正通门业有限公司</w:t>
            </w:r>
          </w:p>
        </w:tc>
        <w:tc>
          <w:tcPr>
            <w:tcW w:w="838" w:type="pct"/>
            <w:vAlign w:val="center"/>
          </w:tcPr>
          <w:p w14:paraId="3E2F3E4E"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9,400,000.00 </w:t>
            </w:r>
          </w:p>
        </w:tc>
        <w:tc>
          <w:tcPr>
            <w:tcW w:w="709" w:type="pct"/>
            <w:vAlign w:val="center"/>
          </w:tcPr>
          <w:p w14:paraId="35760204"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1,028,777.78 </w:t>
            </w:r>
          </w:p>
        </w:tc>
        <w:tc>
          <w:tcPr>
            <w:tcW w:w="801" w:type="pct"/>
            <w:vAlign w:val="center"/>
          </w:tcPr>
          <w:p w14:paraId="0B381877"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1,149,521.66 </w:t>
            </w:r>
          </w:p>
        </w:tc>
        <w:tc>
          <w:tcPr>
            <w:tcW w:w="672" w:type="pct"/>
            <w:vAlign w:val="center"/>
          </w:tcPr>
          <w:p w14:paraId="020F4BE0" w14:textId="77777777" w:rsidR="00690AAD" w:rsidRPr="00690AAD" w:rsidRDefault="00690AAD" w:rsidP="00CE5E39">
            <w:pPr>
              <w:spacing w:line="280" w:lineRule="exact"/>
              <w:jc w:val="center"/>
              <w:rPr>
                <w:rFonts w:ascii="楷体_GB2312" w:eastAsia="楷体_GB2312" w:hAnsi="宋体" w:hint="eastAsia"/>
                <w:szCs w:val="21"/>
              </w:rPr>
            </w:pPr>
            <w:r w:rsidRPr="00690AAD">
              <w:rPr>
                <w:rFonts w:ascii="楷体_GB2312" w:eastAsia="楷体_GB2312" w:hAnsi="宋体" w:hint="eastAsia"/>
                <w:szCs w:val="21"/>
              </w:rPr>
              <w:t xml:space="preserve">30,160.00 </w:t>
            </w:r>
          </w:p>
        </w:tc>
        <w:tc>
          <w:tcPr>
            <w:tcW w:w="1062" w:type="pct"/>
            <w:vAlign w:val="center"/>
          </w:tcPr>
          <w:p w14:paraId="1FDE7E29" w14:textId="77777777" w:rsidR="00690AAD" w:rsidRPr="00690AAD" w:rsidRDefault="00690AAD" w:rsidP="00CE5E39">
            <w:pPr>
              <w:spacing w:line="280" w:lineRule="exact"/>
              <w:jc w:val="center"/>
              <w:rPr>
                <w:rFonts w:ascii="楷体_GB2312" w:eastAsia="楷体_GB2312" w:hAnsi="宋体" w:cs="宋体" w:hint="eastAsia"/>
                <w:szCs w:val="21"/>
              </w:rPr>
            </w:pPr>
            <w:r w:rsidRPr="00690AAD">
              <w:rPr>
                <w:rFonts w:ascii="楷体_GB2312" w:eastAsia="楷体_GB2312" w:hAnsi="宋体" w:hint="eastAsia"/>
                <w:bCs/>
                <w:szCs w:val="21"/>
              </w:rPr>
              <w:t>山东裕昌能源有限公司、禹学尧、杨爱英</w:t>
            </w:r>
          </w:p>
        </w:tc>
      </w:tr>
      <w:tr w:rsidR="00690AAD" w:rsidRPr="00690AAD" w14:paraId="5353D74F" w14:textId="77777777" w:rsidTr="00CE5E39">
        <w:trPr>
          <w:jc w:val="center"/>
        </w:trPr>
        <w:tc>
          <w:tcPr>
            <w:tcW w:w="918" w:type="pct"/>
            <w:gridSpan w:val="2"/>
            <w:vAlign w:val="center"/>
          </w:tcPr>
          <w:p w14:paraId="07A0AC5B" w14:textId="77777777" w:rsidR="00690AAD" w:rsidRPr="00690AAD" w:rsidRDefault="00690AAD" w:rsidP="00CE5E39">
            <w:pPr>
              <w:spacing w:line="280" w:lineRule="exact"/>
              <w:jc w:val="center"/>
              <w:rPr>
                <w:rFonts w:ascii="楷体_GB2312" w:eastAsia="楷体_GB2312" w:hAnsi="宋体" w:hint="eastAsia"/>
                <w:b/>
                <w:szCs w:val="21"/>
              </w:rPr>
            </w:pPr>
            <w:r w:rsidRPr="00690AAD">
              <w:rPr>
                <w:rFonts w:ascii="楷体_GB2312" w:eastAsia="楷体_GB2312" w:hAnsi="宋体" w:hint="eastAsia"/>
                <w:b/>
                <w:szCs w:val="21"/>
              </w:rPr>
              <w:t>合计</w:t>
            </w:r>
          </w:p>
        </w:tc>
        <w:tc>
          <w:tcPr>
            <w:tcW w:w="838" w:type="pct"/>
            <w:vAlign w:val="center"/>
          </w:tcPr>
          <w:p w14:paraId="3A00C7BF" w14:textId="77777777" w:rsidR="00690AAD" w:rsidRPr="00690AAD" w:rsidRDefault="00690AAD" w:rsidP="00CE5E39">
            <w:pPr>
              <w:jc w:val="center"/>
              <w:rPr>
                <w:rFonts w:ascii="楷体_GB2312" w:eastAsia="楷体_GB2312" w:hAnsi="宋体" w:cs="宋体" w:hint="eastAsia"/>
                <w:b/>
                <w:bCs/>
                <w:color w:val="000000"/>
                <w:szCs w:val="21"/>
              </w:rPr>
            </w:pPr>
            <w:r w:rsidRPr="00690AAD">
              <w:rPr>
                <w:rFonts w:ascii="楷体_GB2312" w:eastAsia="楷体_GB2312" w:hAnsi="宋体" w:hint="eastAsia"/>
                <w:b/>
                <w:bCs/>
                <w:color w:val="000000"/>
                <w:szCs w:val="21"/>
              </w:rPr>
              <w:t>307,057,726.02</w:t>
            </w:r>
          </w:p>
        </w:tc>
        <w:tc>
          <w:tcPr>
            <w:tcW w:w="709" w:type="pct"/>
            <w:vAlign w:val="center"/>
          </w:tcPr>
          <w:p w14:paraId="4AFBB610" w14:textId="77777777" w:rsidR="00690AAD" w:rsidRPr="00690AAD" w:rsidRDefault="00690AAD" w:rsidP="00CE5E39">
            <w:pPr>
              <w:jc w:val="center"/>
              <w:rPr>
                <w:rFonts w:ascii="楷体_GB2312" w:eastAsia="楷体_GB2312" w:hAnsi="宋体" w:cs="宋体" w:hint="eastAsia"/>
                <w:b/>
                <w:bCs/>
                <w:color w:val="000000"/>
                <w:szCs w:val="21"/>
              </w:rPr>
            </w:pPr>
            <w:r w:rsidRPr="00690AAD">
              <w:rPr>
                <w:rFonts w:ascii="楷体_GB2312" w:eastAsia="楷体_GB2312" w:hAnsi="宋体" w:hint="eastAsia"/>
                <w:b/>
                <w:bCs/>
                <w:color w:val="000000"/>
                <w:szCs w:val="21"/>
              </w:rPr>
              <w:t>46,692,857.18</w:t>
            </w:r>
          </w:p>
        </w:tc>
        <w:tc>
          <w:tcPr>
            <w:tcW w:w="801" w:type="pct"/>
            <w:vAlign w:val="center"/>
          </w:tcPr>
          <w:p w14:paraId="35846F30" w14:textId="77777777" w:rsidR="00690AAD" w:rsidRPr="00690AAD" w:rsidRDefault="00690AAD" w:rsidP="00CE5E39">
            <w:pPr>
              <w:jc w:val="center"/>
              <w:rPr>
                <w:rFonts w:ascii="楷体_GB2312" w:eastAsia="楷体_GB2312" w:hAnsi="宋体" w:cs="宋体" w:hint="eastAsia"/>
                <w:b/>
                <w:bCs/>
                <w:color w:val="000000"/>
                <w:szCs w:val="21"/>
              </w:rPr>
            </w:pPr>
            <w:r w:rsidRPr="00690AAD">
              <w:rPr>
                <w:rFonts w:ascii="楷体_GB2312" w:eastAsia="楷体_GB2312" w:hAnsi="宋体" w:hint="eastAsia"/>
                <w:b/>
                <w:bCs/>
                <w:color w:val="000000"/>
                <w:szCs w:val="21"/>
              </w:rPr>
              <w:t>79,359,234.29</w:t>
            </w:r>
          </w:p>
        </w:tc>
        <w:tc>
          <w:tcPr>
            <w:tcW w:w="672" w:type="pct"/>
            <w:vAlign w:val="center"/>
          </w:tcPr>
          <w:p w14:paraId="34AA4314" w14:textId="77777777" w:rsidR="00690AAD" w:rsidRPr="00690AAD" w:rsidRDefault="00690AAD" w:rsidP="00CE5E39">
            <w:pPr>
              <w:jc w:val="center"/>
              <w:rPr>
                <w:rFonts w:ascii="楷体_GB2312" w:eastAsia="楷体_GB2312" w:hAnsi="宋体" w:cs="宋体" w:hint="eastAsia"/>
                <w:b/>
                <w:bCs/>
                <w:color w:val="000000"/>
                <w:szCs w:val="21"/>
              </w:rPr>
            </w:pPr>
            <w:r w:rsidRPr="00690AAD">
              <w:rPr>
                <w:rFonts w:ascii="楷体_GB2312" w:eastAsia="楷体_GB2312" w:hAnsi="宋体" w:hint="eastAsia"/>
                <w:b/>
                <w:bCs/>
                <w:color w:val="000000"/>
                <w:szCs w:val="21"/>
              </w:rPr>
              <w:t>465,922.00</w:t>
            </w:r>
          </w:p>
        </w:tc>
        <w:tc>
          <w:tcPr>
            <w:tcW w:w="1062" w:type="pct"/>
            <w:vAlign w:val="center"/>
          </w:tcPr>
          <w:p w14:paraId="02DC2A6A" w14:textId="77777777" w:rsidR="00690AAD" w:rsidRPr="00690AAD" w:rsidRDefault="00690AAD" w:rsidP="00CE5E39">
            <w:pPr>
              <w:spacing w:line="280" w:lineRule="exact"/>
              <w:jc w:val="center"/>
              <w:rPr>
                <w:rFonts w:ascii="楷体_GB2312" w:eastAsia="楷体_GB2312" w:hAnsi="宋体" w:hint="eastAsia"/>
                <w:b/>
                <w:szCs w:val="21"/>
              </w:rPr>
            </w:pPr>
            <w:r w:rsidRPr="00690AAD">
              <w:rPr>
                <w:rFonts w:ascii="楷体_GB2312" w:eastAsia="楷体_GB2312" w:hAnsi="宋体" w:hint="eastAsia"/>
                <w:b/>
                <w:szCs w:val="21"/>
              </w:rPr>
              <w:t>-</w:t>
            </w:r>
          </w:p>
        </w:tc>
      </w:tr>
    </w:tbl>
    <w:p w14:paraId="5277D162" w14:textId="77777777" w:rsidR="00690AAD" w:rsidRPr="00690AAD" w:rsidRDefault="00690AAD" w:rsidP="00690AAD">
      <w:pPr>
        <w:wordWrap w:val="0"/>
        <w:spacing w:afterLines="100" w:after="312" w:line="300" w:lineRule="auto"/>
        <w:ind w:right="844"/>
        <w:rPr>
          <w:rFonts w:ascii="楷体_GB2312" w:eastAsia="楷体_GB2312" w:hAnsi="宋体" w:hint="eastAsia"/>
          <w:szCs w:val="21"/>
        </w:rPr>
      </w:pPr>
      <w:r w:rsidRPr="00690AAD">
        <w:rPr>
          <w:rFonts w:ascii="楷体_GB2312" w:eastAsia="楷体_GB2312" w:hAnsi="宋体" w:hint="eastAsia"/>
          <w:szCs w:val="21"/>
        </w:rPr>
        <w:t>注：利息、罚息数额为初步匡算，具体以合同约定或生效法律判决确认为准。</w:t>
      </w:r>
    </w:p>
    <w:p w14:paraId="7EDF4411" w14:textId="77777777" w:rsidR="001D75FA" w:rsidRPr="00690AAD" w:rsidRDefault="001D75FA">
      <w:pPr>
        <w:rPr>
          <w:rFonts w:ascii="楷体_GB2312" w:eastAsia="楷体_GB2312" w:hint="eastAsia"/>
        </w:rPr>
      </w:pPr>
    </w:p>
    <w:sectPr w:rsidR="001D75FA" w:rsidRPr="00690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77F65" w14:textId="77777777" w:rsidR="0002320A" w:rsidRDefault="0002320A" w:rsidP="00234BB8">
      <w:r>
        <w:separator/>
      </w:r>
    </w:p>
  </w:endnote>
  <w:endnote w:type="continuationSeparator" w:id="0">
    <w:p w14:paraId="39515F26" w14:textId="77777777" w:rsidR="0002320A" w:rsidRDefault="0002320A" w:rsidP="0023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Dutch 801">
    <w:altName w:val="Times New Roman"/>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A2DCF" w14:textId="77777777" w:rsidR="0002320A" w:rsidRDefault="0002320A" w:rsidP="00234BB8">
      <w:r>
        <w:separator/>
      </w:r>
    </w:p>
  </w:footnote>
  <w:footnote w:type="continuationSeparator" w:id="0">
    <w:p w14:paraId="5208AD80" w14:textId="77777777" w:rsidR="0002320A" w:rsidRDefault="0002320A" w:rsidP="0023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7F31"/>
    <w:multiLevelType w:val="multilevel"/>
    <w:tmpl w:val="23D67F31"/>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
    <w:nsid w:val="33556EB7"/>
    <w:multiLevelType w:val="multilevel"/>
    <w:tmpl w:val="33556EB7"/>
    <w:lvl w:ilvl="0">
      <w:start w:val="1"/>
      <w:numFmt w:val="decimal"/>
      <w:pStyle w:val="1"/>
      <w:lvlText w:val="%1."/>
      <w:lvlJc w:val="left"/>
      <w:pPr>
        <w:tabs>
          <w:tab w:val="left" w:pos="0"/>
        </w:tabs>
        <w:ind w:left="0" w:firstLine="0"/>
      </w:pPr>
      <w:rPr>
        <w:rFonts w:hint="eastAsia"/>
      </w:rPr>
    </w:lvl>
    <w:lvl w:ilvl="1">
      <w:start w:val="1"/>
      <w:numFmt w:val="decimal"/>
      <w:pStyle w:val="a"/>
      <w:isLgl/>
      <w:lvlText w:val="%1.%2"/>
      <w:lvlJc w:val="left"/>
      <w:pPr>
        <w:tabs>
          <w:tab w:val="left" w:pos="567"/>
        </w:tabs>
        <w:ind w:left="0"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6094"/>
        </w:tabs>
        <w:ind w:left="5722" w:hanging="708"/>
      </w:pPr>
      <w:rPr>
        <w:rFonts w:hint="eastAsia"/>
      </w:rPr>
    </w:lvl>
    <w:lvl w:ilvl="4">
      <w:start w:val="1"/>
      <w:numFmt w:val="decimal"/>
      <w:lvlText w:val="%1.%2.%3.%4.%5"/>
      <w:lvlJc w:val="left"/>
      <w:pPr>
        <w:tabs>
          <w:tab w:val="left" w:pos="6519"/>
        </w:tabs>
        <w:ind w:left="6289" w:hanging="850"/>
      </w:pPr>
      <w:rPr>
        <w:rFonts w:hint="eastAsia"/>
      </w:rPr>
    </w:lvl>
    <w:lvl w:ilvl="5">
      <w:start w:val="1"/>
      <w:numFmt w:val="decimal"/>
      <w:lvlText w:val="%1.%2.%3.%4.%5.%6"/>
      <w:lvlJc w:val="left"/>
      <w:pPr>
        <w:tabs>
          <w:tab w:val="left" w:pos="7304"/>
        </w:tabs>
        <w:ind w:left="6998" w:hanging="1134"/>
      </w:pPr>
      <w:rPr>
        <w:rFonts w:hint="eastAsia"/>
      </w:rPr>
    </w:lvl>
    <w:lvl w:ilvl="6">
      <w:start w:val="1"/>
      <w:numFmt w:val="decimal"/>
      <w:lvlText w:val="%1.%2.%3.%4.%5.%6.%7"/>
      <w:lvlJc w:val="left"/>
      <w:pPr>
        <w:tabs>
          <w:tab w:val="left" w:pos="8089"/>
        </w:tabs>
        <w:ind w:left="7565" w:hanging="1276"/>
      </w:pPr>
      <w:rPr>
        <w:rFonts w:hint="eastAsia"/>
      </w:rPr>
    </w:lvl>
    <w:lvl w:ilvl="7">
      <w:start w:val="1"/>
      <w:numFmt w:val="decimal"/>
      <w:lvlText w:val="%1.%2.%3.%4.%5.%6.%7.%8"/>
      <w:lvlJc w:val="left"/>
      <w:pPr>
        <w:tabs>
          <w:tab w:val="left" w:pos="8514"/>
        </w:tabs>
        <w:ind w:left="8132" w:hanging="1418"/>
      </w:pPr>
      <w:rPr>
        <w:rFonts w:hint="eastAsia"/>
      </w:rPr>
    </w:lvl>
    <w:lvl w:ilvl="8">
      <w:start w:val="1"/>
      <w:numFmt w:val="decimal"/>
      <w:lvlText w:val="%1.%2.%3.%4.%5.%6.%7.%8.%9"/>
      <w:lvlJc w:val="left"/>
      <w:pPr>
        <w:tabs>
          <w:tab w:val="left" w:pos="9300"/>
        </w:tabs>
        <w:ind w:left="8840" w:hanging="1700"/>
      </w:pPr>
      <w:rPr>
        <w:rFonts w:hint="eastAsia"/>
      </w:rPr>
    </w:lvl>
  </w:abstractNum>
  <w:abstractNum w:abstractNumId="2">
    <w:nsid w:val="35746779"/>
    <w:multiLevelType w:val="singleLevel"/>
    <w:tmpl w:val="35746779"/>
    <w:lvl w:ilvl="0">
      <w:start w:val="1"/>
      <w:numFmt w:val="lowerRoman"/>
      <w:lvlText w:val="(%1)"/>
      <w:lvlJc w:val="left"/>
      <w:pPr>
        <w:tabs>
          <w:tab w:val="left" w:pos="720"/>
        </w:tabs>
        <w:ind w:left="360" w:hanging="360"/>
      </w:pPr>
    </w:lvl>
  </w:abstractNum>
  <w:abstractNum w:abstractNumId="3">
    <w:nsid w:val="3D9C3C5A"/>
    <w:multiLevelType w:val="multilevel"/>
    <w:tmpl w:val="3D9C3C5A"/>
    <w:lvl w:ilvl="0">
      <w:start w:val="1"/>
      <w:numFmt w:val="decimal"/>
      <w:lvlText w:val="%1"/>
      <w:lvlJc w:val="left"/>
      <w:pPr>
        <w:tabs>
          <w:tab w:val="left" w:pos="0"/>
        </w:tabs>
        <w:ind w:left="0" w:firstLine="0"/>
      </w:pPr>
      <w:rPr>
        <w:rFonts w:hint="eastAsia"/>
      </w:rPr>
    </w:lvl>
    <w:lvl w:ilvl="1">
      <w:start w:val="1"/>
      <w:numFmt w:val="decimal"/>
      <w:pStyle w:val="2"/>
      <w:lvlText w:val="%1.%2"/>
      <w:lvlJc w:val="left"/>
      <w:pPr>
        <w:tabs>
          <w:tab w:val="left" w:pos="567"/>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lvlText w:val="%1.%2.%3.%4"/>
      <w:lvlJc w:val="left"/>
      <w:pPr>
        <w:tabs>
          <w:tab w:val="left" w:pos="6094"/>
        </w:tabs>
        <w:ind w:left="5722" w:hanging="708"/>
      </w:pPr>
      <w:rPr>
        <w:rFonts w:hint="eastAsia"/>
      </w:rPr>
    </w:lvl>
    <w:lvl w:ilvl="4">
      <w:start w:val="1"/>
      <w:numFmt w:val="decimal"/>
      <w:lvlText w:val="%1.%2.%3.%4.%5"/>
      <w:lvlJc w:val="left"/>
      <w:pPr>
        <w:tabs>
          <w:tab w:val="left" w:pos="6519"/>
        </w:tabs>
        <w:ind w:left="6289" w:hanging="850"/>
      </w:pPr>
      <w:rPr>
        <w:rFonts w:hint="eastAsia"/>
      </w:rPr>
    </w:lvl>
    <w:lvl w:ilvl="5">
      <w:start w:val="1"/>
      <w:numFmt w:val="decimal"/>
      <w:lvlText w:val="%1.%2.%3.%4.%5.%6"/>
      <w:lvlJc w:val="left"/>
      <w:pPr>
        <w:tabs>
          <w:tab w:val="left" w:pos="7304"/>
        </w:tabs>
        <w:ind w:left="6998" w:hanging="1134"/>
      </w:pPr>
      <w:rPr>
        <w:rFonts w:hint="eastAsia"/>
      </w:rPr>
    </w:lvl>
    <w:lvl w:ilvl="6">
      <w:start w:val="1"/>
      <w:numFmt w:val="decimal"/>
      <w:lvlText w:val="%1.%2.%3.%4.%5.%6.%7"/>
      <w:lvlJc w:val="left"/>
      <w:pPr>
        <w:tabs>
          <w:tab w:val="left" w:pos="8089"/>
        </w:tabs>
        <w:ind w:left="7565" w:hanging="1276"/>
      </w:pPr>
      <w:rPr>
        <w:rFonts w:hint="eastAsia"/>
      </w:rPr>
    </w:lvl>
    <w:lvl w:ilvl="7">
      <w:start w:val="1"/>
      <w:numFmt w:val="decimal"/>
      <w:lvlText w:val="%1.%2.%3.%4.%5.%6.%7.%8"/>
      <w:lvlJc w:val="left"/>
      <w:pPr>
        <w:tabs>
          <w:tab w:val="left" w:pos="8514"/>
        </w:tabs>
        <w:ind w:left="8132" w:hanging="1418"/>
      </w:pPr>
      <w:rPr>
        <w:rFonts w:hint="eastAsia"/>
      </w:rPr>
    </w:lvl>
    <w:lvl w:ilvl="8">
      <w:start w:val="1"/>
      <w:numFmt w:val="decimal"/>
      <w:lvlText w:val="%1.%2.%3.%4.%5.%6.%7.%8.%9"/>
      <w:lvlJc w:val="left"/>
      <w:pPr>
        <w:tabs>
          <w:tab w:val="left" w:pos="9300"/>
        </w:tabs>
        <w:ind w:left="8840" w:hanging="1700"/>
      </w:pPr>
      <w:rPr>
        <w:rFonts w:hint="eastAsia"/>
      </w:rPr>
    </w:lvl>
  </w:abstractNum>
  <w:abstractNum w:abstractNumId="4">
    <w:nsid w:val="7E47483D"/>
    <w:multiLevelType w:val="multilevel"/>
    <w:tmpl w:val="7E47483D"/>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NTc5YzE3Mjk0N2IxNzQwNTc3MjdiMjRjYzU2MzAifQ=="/>
  </w:docVars>
  <w:rsids>
    <w:rsidRoot w:val="002055F5"/>
    <w:rsid w:val="00020ED0"/>
    <w:rsid w:val="00022B39"/>
    <w:rsid w:val="0002320A"/>
    <w:rsid w:val="0002384F"/>
    <w:rsid w:val="0004530F"/>
    <w:rsid w:val="00065A5B"/>
    <w:rsid w:val="000A3E3B"/>
    <w:rsid w:val="000B069D"/>
    <w:rsid w:val="000D6A77"/>
    <w:rsid w:val="000E3135"/>
    <w:rsid w:val="000F1FE7"/>
    <w:rsid w:val="000F602B"/>
    <w:rsid w:val="00123F62"/>
    <w:rsid w:val="00182FCD"/>
    <w:rsid w:val="001A78AF"/>
    <w:rsid w:val="001D75FA"/>
    <w:rsid w:val="002009A3"/>
    <w:rsid w:val="0020547F"/>
    <w:rsid w:val="002055F5"/>
    <w:rsid w:val="002324AE"/>
    <w:rsid w:val="00234BB8"/>
    <w:rsid w:val="00240B5D"/>
    <w:rsid w:val="002A7368"/>
    <w:rsid w:val="002E744E"/>
    <w:rsid w:val="002F0DC9"/>
    <w:rsid w:val="00323310"/>
    <w:rsid w:val="003348D1"/>
    <w:rsid w:val="00373A89"/>
    <w:rsid w:val="003951B5"/>
    <w:rsid w:val="003A289F"/>
    <w:rsid w:val="003B4C3F"/>
    <w:rsid w:val="003E1AA0"/>
    <w:rsid w:val="00410F18"/>
    <w:rsid w:val="00425D19"/>
    <w:rsid w:val="00450D55"/>
    <w:rsid w:val="00456A8D"/>
    <w:rsid w:val="00457967"/>
    <w:rsid w:val="00466CB9"/>
    <w:rsid w:val="00472430"/>
    <w:rsid w:val="0047572E"/>
    <w:rsid w:val="004A7ED8"/>
    <w:rsid w:val="004C0D04"/>
    <w:rsid w:val="004D263C"/>
    <w:rsid w:val="004E1D5A"/>
    <w:rsid w:val="004E24CB"/>
    <w:rsid w:val="004F4128"/>
    <w:rsid w:val="005258EF"/>
    <w:rsid w:val="0053296A"/>
    <w:rsid w:val="005456DA"/>
    <w:rsid w:val="00573265"/>
    <w:rsid w:val="005866C4"/>
    <w:rsid w:val="00590F73"/>
    <w:rsid w:val="005D34A6"/>
    <w:rsid w:val="005D65DA"/>
    <w:rsid w:val="005E2867"/>
    <w:rsid w:val="006803CE"/>
    <w:rsid w:val="00690AAD"/>
    <w:rsid w:val="00691127"/>
    <w:rsid w:val="006A1DBE"/>
    <w:rsid w:val="006A58FC"/>
    <w:rsid w:val="006B1559"/>
    <w:rsid w:val="006E5F85"/>
    <w:rsid w:val="006E7804"/>
    <w:rsid w:val="00715EDC"/>
    <w:rsid w:val="00723B12"/>
    <w:rsid w:val="00747908"/>
    <w:rsid w:val="00775593"/>
    <w:rsid w:val="007A093A"/>
    <w:rsid w:val="00846F47"/>
    <w:rsid w:val="00884F1A"/>
    <w:rsid w:val="008A19CC"/>
    <w:rsid w:val="008E6C6F"/>
    <w:rsid w:val="009537E9"/>
    <w:rsid w:val="009645C3"/>
    <w:rsid w:val="009773B3"/>
    <w:rsid w:val="009967B0"/>
    <w:rsid w:val="009A49D5"/>
    <w:rsid w:val="009B6165"/>
    <w:rsid w:val="00A158DD"/>
    <w:rsid w:val="00A81DC8"/>
    <w:rsid w:val="00B004E3"/>
    <w:rsid w:val="00B0626F"/>
    <w:rsid w:val="00B3341F"/>
    <w:rsid w:val="00B33860"/>
    <w:rsid w:val="00B43D75"/>
    <w:rsid w:val="00B548A0"/>
    <w:rsid w:val="00B556A8"/>
    <w:rsid w:val="00B80C7A"/>
    <w:rsid w:val="00B936D5"/>
    <w:rsid w:val="00BB0854"/>
    <w:rsid w:val="00BC151E"/>
    <w:rsid w:val="00C13D43"/>
    <w:rsid w:val="00C45BB1"/>
    <w:rsid w:val="00C91BDA"/>
    <w:rsid w:val="00CD5D9A"/>
    <w:rsid w:val="00D2029F"/>
    <w:rsid w:val="00D74000"/>
    <w:rsid w:val="00DA171B"/>
    <w:rsid w:val="00DB297A"/>
    <w:rsid w:val="00DE3CC7"/>
    <w:rsid w:val="00E02492"/>
    <w:rsid w:val="00E1017D"/>
    <w:rsid w:val="00E11343"/>
    <w:rsid w:val="00E17ACF"/>
    <w:rsid w:val="00E26599"/>
    <w:rsid w:val="00E36DBA"/>
    <w:rsid w:val="00E46893"/>
    <w:rsid w:val="00F14129"/>
    <w:rsid w:val="00F2759D"/>
    <w:rsid w:val="00F32B38"/>
    <w:rsid w:val="00F36D19"/>
    <w:rsid w:val="00F45572"/>
    <w:rsid w:val="00F636FC"/>
    <w:rsid w:val="00F70D3B"/>
    <w:rsid w:val="00F742BC"/>
    <w:rsid w:val="00F90B68"/>
    <w:rsid w:val="00FB2AF9"/>
    <w:rsid w:val="00FB383E"/>
    <w:rsid w:val="00FE3DDB"/>
    <w:rsid w:val="22DF59DA"/>
    <w:rsid w:val="601E3523"/>
    <w:rsid w:val="656A4633"/>
    <w:rsid w:val="71435F41"/>
    <w:rsid w:val="7AFE2E0F"/>
    <w:rsid w:val="7F16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pPr>
      <w:keepNext/>
      <w:numPr>
        <w:numId w:val="1"/>
      </w:numPr>
      <w:outlineLvl w:val="0"/>
    </w:pPr>
    <w:rPr>
      <w:rFonts w:eastAsia="仿宋_GB2312"/>
      <w:b/>
      <w:bCs/>
      <w:sz w:val="32"/>
      <w:szCs w:val="32"/>
    </w:rPr>
  </w:style>
  <w:style w:type="paragraph" w:styleId="2">
    <w:name w:val="heading 2"/>
    <w:basedOn w:val="a0"/>
    <w:next w:val="a0"/>
    <w:link w:val="2Char"/>
    <w:qFormat/>
    <w:pPr>
      <w:keepNext/>
      <w:keepLines/>
      <w:numPr>
        <w:ilvl w:val="1"/>
        <w:numId w:val="2"/>
      </w:numPr>
      <w:outlineLvl w:val="1"/>
    </w:pPr>
    <w:rPr>
      <w:rFonts w:eastAsia="仿宋_GB2312"/>
      <w:b/>
      <w:bCs/>
      <w:sz w:val="32"/>
      <w:szCs w:val="32"/>
    </w:rPr>
  </w:style>
  <w:style w:type="paragraph" w:styleId="3">
    <w:name w:val="heading 3"/>
    <w:basedOn w:val="a0"/>
    <w:next w:val="a0"/>
    <w:link w:val="3Char"/>
    <w:qFormat/>
    <w:pPr>
      <w:keepNext/>
      <w:keepLines/>
      <w:numPr>
        <w:ilvl w:val="2"/>
        <w:numId w:val="2"/>
      </w:numPr>
      <w:tabs>
        <w:tab w:val="clear" w:pos="0"/>
        <w:tab w:val="left" w:pos="1260"/>
      </w:tabs>
      <w:ind w:leftChars="200" w:left="1262" w:hangingChars="262" w:hanging="842"/>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ody Text"/>
    <w:basedOn w:val="a0"/>
    <w:link w:val="Char0"/>
    <w:qFormat/>
    <w:pPr>
      <w:adjustRightInd w:val="0"/>
      <w:spacing w:after="120" w:line="312" w:lineRule="atLeast"/>
      <w:textAlignment w:val="baseline"/>
    </w:pPr>
    <w:rPr>
      <w:kern w:val="0"/>
      <w:szCs w:val="20"/>
    </w:rPr>
  </w:style>
  <w:style w:type="paragraph" w:styleId="a6">
    <w:name w:val="endnote text"/>
    <w:basedOn w:val="a0"/>
    <w:link w:val="Char1"/>
    <w:semiHidden/>
    <w:qFormat/>
    <w:pPr>
      <w:snapToGrid w:val="0"/>
      <w:jc w:val="left"/>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qFormat/>
    <w:rPr>
      <w:rFonts w:ascii="Times New Roman" w:eastAsia="仿宋_GB2312" w:hAnsi="Times New Roman" w:cs="Times New Roman"/>
      <w:b/>
      <w:bCs/>
      <w:sz w:val="32"/>
      <w:szCs w:val="32"/>
    </w:rPr>
  </w:style>
  <w:style w:type="character" w:customStyle="1" w:styleId="2Char">
    <w:name w:val="标题 2 Char"/>
    <w:basedOn w:val="a1"/>
    <w:link w:val="2"/>
    <w:qFormat/>
    <w:rPr>
      <w:rFonts w:ascii="Times New Roman" w:eastAsia="仿宋_GB2312" w:hAnsi="Times New Roman" w:cs="Times New Roman"/>
      <w:b/>
      <w:bCs/>
      <w:sz w:val="32"/>
      <w:szCs w:val="32"/>
    </w:rPr>
  </w:style>
  <w:style w:type="character" w:customStyle="1" w:styleId="3Char">
    <w:name w:val="标题 3 Char"/>
    <w:basedOn w:val="a1"/>
    <w:link w:val="3"/>
    <w:qFormat/>
    <w:rPr>
      <w:rFonts w:ascii="Times New Roman" w:eastAsia="仿宋_GB2312" w:hAnsi="Times New Roman" w:cs="Times New Roman"/>
      <w:b/>
      <w:bCs/>
      <w:sz w:val="32"/>
      <w:szCs w:val="32"/>
    </w:rPr>
  </w:style>
  <w:style w:type="character" w:customStyle="1" w:styleId="Char0">
    <w:name w:val="正文文本 Char"/>
    <w:basedOn w:val="a1"/>
    <w:link w:val="a5"/>
    <w:qFormat/>
    <w:rPr>
      <w:rFonts w:ascii="Times New Roman" w:eastAsia="宋体" w:hAnsi="Times New Roman" w:cs="Times New Roman"/>
      <w:kern w:val="0"/>
      <w:szCs w:val="20"/>
    </w:rPr>
  </w:style>
  <w:style w:type="character" w:customStyle="1" w:styleId="Char1">
    <w:name w:val="尾注文本 Char"/>
    <w:basedOn w:val="a1"/>
    <w:link w:val="a6"/>
    <w:semiHidden/>
    <w:qFormat/>
    <w:rPr>
      <w:rFonts w:ascii="Times New Roman" w:eastAsia="宋体" w:hAnsi="Times New Roman" w:cs="Times New Roman"/>
      <w:szCs w:val="24"/>
    </w:rPr>
  </w:style>
  <w:style w:type="paragraph" w:customStyle="1" w:styleId="a">
    <w:name w:val="第二层"/>
    <w:basedOn w:val="a0"/>
    <w:next w:val="a0"/>
    <w:qFormat/>
    <w:pPr>
      <w:numPr>
        <w:ilvl w:val="1"/>
        <w:numId w:val="1"/>
      </w:numPr>
      <w:snapToGrid w:val="0"/>
      <w:spacing w:line="360" w:lineRule="auto"/>
    </w:pPr>
    <w:rPr>
      <w:rFonts w:eastAsia="仿宋_GB2312"/>
      <w:bCs/>
      <w:sz w:val="28"/>
      <w:szCs w:val="28"/>
    </w:rPr>
  </w:style>
  <w:style w:type="paragraph" w:customStyle="1" w:styleId="Headingtest">
    <w:name w:val="Heading test"/>
    <w:basedOn w:val="2"/>
    <w:qFormat/>
    <w:pPr>
      <w:keepNext w:val="0"/>
      <w:keepLines w:val="0"/>
      <w:widowControl/>
      <w:numPr>
        <w:ilvl w:val="0"/>
        <w:numId w:val="0"/>
      </w:numPr>
      <w:tabs>
        <w:tab w:val="left" w:pos="1440"/>
      </w:tabs>
      <w:spacing w:line="360" w:lineRule="auto"/>
      <w:ind w:left="1440" w:hanging="360"/>
    </w:pPr>
    <w:rPr>
      <w:rFonts w:ascii="Dutch 801" w:eastAsia="Times New Roman" w:hAnsi="Dutch 801"/>
      <w:b w:val="0"/>
      <w:bCs w:val="0"/>
      <w:spacing w:val="-3"/>
      <w:kern w:val="0"/>
      <w:sz w:val="24"/>
      <w:szCs w:val="20"/>
      <w:lang w:val="en-GB" w:eastAsia="en-US"/>
    </w:rPr>
  </w:style>
  <w:style w:type="paragraph" w:customStyle="1" w:styleId="Paraa">
    <w:name w:val="Para a)"/>
    <w:basedOn w:val="a0"/>
    <w:qFormat/>
    <w:pPr>
      <w:widowControl/>
      <w:spacing w:before="240"/>
      <w:ind w:firstLine="1440"/>
      <w:jc w:val="left"/>
    </w:pPr>
    <w:rPr>
      <w:rFonts w:eastAsia="BatangChe"/>
      <w:kern w:val="0"/>
      <w:sz w:val="24"/>
      <w:szCs w:val="20"/>
      <w:lang w:eastAsia="en-US"/>
    </w:rPr>
  </w:style>
  <w:style w:type="paragraph" w:customStyle="1" w:styleId="Para11">
    <w:name w:val="Para 1.1"/>
    <w:basedOn w:val="a0"/>
    <w:qFormat/>
    <w:pPr>
      <w:widowControl/>
      <w:spacing w:before="240"/>
      <w:ind w:firstLine="720"/>
      <w:jc w:val="left"/>
    </w:pPr>
    <w:rPr>
      <w:rFonts w:eastAsia="BatangChe"/>
      <w:kern w:val="0"/>
      <w:sz w:val="24"/>
      <w:szCs w:val="20"/>
      <w:lang w:eastAsia="en-US"/>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 w:type="table" w:styleId="ac">
    <w:name w:val="Table Grid"/>
    <w:basedOn w:val="a2"/>
    <w:uiPriority w:val="59"/>
    <w:rsid w:val="00690AAD"/>
    <w:rPr>
      <w:kern w:val="2"/>
      <w:sz w:val="21"/>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pPr>
      <w:keepNext/>
      <w:numPr>
        <w:numId w:val="1"/>
      </w:numPr>
      <w:outlineLvl w:val="0"/>
    </w:pPr>
    <w:rPr>
      <w:rFonts w:eastAsia="仿宋_GB2312"/>
      <w:b/>
      <w:bCs/>
      <w:sz w:val="32"/>
      <w:szCs w:val="32"/>
    </w:rPr>
  </w:style>
  <w:style w:type="paragraph" w:styleId="2">
    <w:name w:val="heading 2"/>
    <w:basedOn w:val="a0"/>
    <w:next w:val="a0"/>
    <w:link w:val="2Char"/>
    <w:qFormat/>
    <w:pPr>
      <w:keepNext/>
      <w:keepLines/>
      <w:numPr>
        <w:ilvl w:val="1"/>
        <w:numId w:val="2"/>
      </w:numPr>
      <w:outlineLvl w:val="1"/>
    </w:pPr>
    <w:rPr>
      <w:rFonts w:eastAsia="仿宋_GB2312"/>
      <w:b/>
      <w:bCs/>
      <w:sz w:val="32"/>
      <w:szCs w:val="32"/>
    </w:rPr>
  </w:style>
  <w:style w:type="paragraph" w:styleId="3">
    <w:name w:val="heading 3"/>
    <w:basedOn w:val="a0"/>
    <w:next w:val="a0"/>
    <w:link w:val="3Char"/>
    <w:qFormat/>
    <w:pPr>
      <w:keepNext/>
      <w:keepLines/>
      <w:numPr>
        <w:ilvl w:val="2"/>
        <w:numId w:val="2"/>
      </w:numPr>
      <w:tabs>
        <w:tab w:val="clear" w:pos="0"/>
        <w:tab w:val="left" w:pos="1260"/>
      </w:tabs>
      <w:ind w:leftChars="200" w:left="1262" w:hangingChars="262" w:hanging="842"/>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ody Text"/>
    <w:basedOn w:val="a0"/>
    <w:link w:val="Char0"/>
    <w:qFormat/>
    <w:pPr>
      <w:adjustRightInd w:val="0"/>
      <w:spacing w:after="120" w:line="312" w:lineRule="atLeast"/>
      <w:textAlignment w:val="baseline"/>
    </w:pPr>
    <w:rPr>
      <w:kern w:val="0"/>
      <w:szCs w:val="20"/>
    </w:rPr>
  </w:style>
  <w:style w:type="paragraph" w:styleId="a6">
    <w:name w:val="endnote text"/>
    <w:basedOn w:val="a0"/>
    <w:link w:val="Char1"/>
    <w:semiHidden/>
    <w:qFormat/>
    <w:pPr>
      <w:snapToGrid w:val="0"/>
      <w:jc w:val="left"/>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qFormat/>
    <w:rPr>
      <w:rFonts w:ascii="Times New Roman" w:eastAsia="仿宋_GB2312" w:hAnsi="Times New Roman" w:cs="Times New Roman"/>
      <w:b/>
      <w:bCs/>
      <w:sz w:val="32"/>
      <w:szCs w:val="32"/>
    </w:rPr>
  </w:style>
  <w:style w:type="character" w:customStyle="1" w:styleId="2Char">
    <w:name w:val="标题 2 Char"/>
    <w:basedOn w:val="a1"/>
    <w:link w:val="2"/>
    <w:qFormat/>
    <w:rPr>
      <w:rFonts w:ascii="Times New Roman" w:eastAsia="仿宋_GB2312" w:hAnsi="Times New Roman" w:cs="Times New Roman"/>
      <w:b/>
      <w:bCs/>
      <w:sz w:val="32"/>
      <w:szCs w:val="32"/>
    </w:rPr>
  </w:style>
  <w:style w:type="character" w:customStyle="1" w:styleId="3Char">
    <w:name w:val="标题 3 Char"/>
    <w:basedOn w:val="a1"/>
    <w:link w:val="3"/>
    <w:qFormat/>
    <w:rPr>
      <w:rFonts w:ascii="Times New Roman" w:eastAsia="仿宋_GB2312" w:hAnsi="Times New Roman" w:cs="Times New Roman"/>
      <w:b/>
      <w:bCs/>
      <w:sz w:val="32"/>
      <w:szCs w:val="32"/>
    </w:rPr>
  </w:style>
  <w:style w:type="character" w:customStyle="1" w:styleId="Char0">
    <w:name w:val="正文文本 Char"/>
    <w:basedOn w:val="a1"/>
    <w:link w:val="a5"/>
    <w:qFormat/>
    <w:rPr>
      <w:rFonts w:ascii="Times New Roman" w:eastAsia="宋体" w:hAnsi="Times New Roman" w:cs="Times New Roman"/>
      <w:kern w:val="0"/>
      <w:szCs w:val="20"/>
    </w:rPr>
  </w:style>
  <w:style w:type="character" w:customStyle="1" w:styleId="Char1">
    <w:name w:val="尾注文本 Char"/>
    <w:basedOn w:val="a1"/>
    <w:link w:val="a6"/>
    <w:semiHidden/>
    <w:qFormat/>
    <w:rPr>
      <w:rFonts w:ascii="Times New Roman" w:eastAsia="宋体" w:hAnsi="Times New Roman" w:cs="Times New Roman"/>
      <w:szCs w:val="24"/>
    </w:rPr>
  </w:style>
  <w:style w:type="paragraph" w:customStyle="1" w:styleId="a">
    <w:name w:val="第二层"/>
    <w:basedOn w:val="a0"/>
    <w:next w:val="a0"/>
    <w:qFormat/>
    <w:pPr>
      <w:numPr>
        <w:ilvl w:val="1"/>
        <w:numId w:val="1"/>
      </w:numPr>
      <w:snapToGrid w:val="0"/>
      <w:spacing w:line="360" w:lineRule="auto"/>
    </w:pPr>
    <w:rPr>
      <w:rFonts w:eastAsia="仿宋_GB2312"/>
      <w:bCs/>
      <w:sz w:val="28"/>
      <w:szCs w:val="28"/>
    </w:rPr>
  </w:style>
  <w:style w:type="paragraph" w:customStyle="1" w:styleId="Headingtest">
    <w:name w:val="Heading test"/>
    <w:basedOn w:val="2"/>
    <w:qFormat/>
    <w:pPr>
      <w:keepNext w:val="0"/>
      <w:keepLines w:val="0"/>
      <w:widowControl/>
      <w:numPr>
        <w:ilvl w:val="0"/>
        <w:numId w:val="0"/>
      </w:numPr>
      <w:tabs>
        <w:tab w:val="left" w:pos="1440"/>
      </w:tabs>
      <w:spacing w:line="360" w:lineRule="auto"/>
      <w:ind w:left="1440" w:hanging="360"/>
    </w:pPr>
    <w:rPr>
      <w:rFonts w:ascii="Dutch 801" w:eastAsia="Times New Roman" w:hAnsi="Dutch 801"/>
      <w:b w:val="0"/>
      <w:bCs w:val="0"/>
      <w:spacing w:val="-3"/>
      <w:kern w:val="0"/>
      <w:sz w:val="24"/>
      <w:szCs w:val="20"/>
      <w:lang w:val="en-GB" w:eastAsia="en-US"/>
    </w:rPr>
  </w:style>
  <w:style w:type="paragraph" w:customStyle="1" w:styleId="Paraa">
    <w:name w:val="Para a)"/>
    <w:basedOn w:val="a0"/>
    <w:qFormat/>
    <w:pPr>
      <w:widowControl/>
      <w:spacing w:before="240"/>
      <w:ind w:firstLine="1440"/>
      <w:jc w:val="left"/>
    </w:pPr>
    <w:rPr>
      <w:rFonts w:eastAsia="BatangChe"/>
      <w:kern w:val="0"/>
      <w:sz w:val="24"/>
      <w:szCs w:val="20"/>
      <w:lang w:eastAsia="en-US"/>
    </w:rPr>
  </w:style>
  <w:style w:type="paragraph" w:customStyle="1" w:styleId="Para11">
    <w:name w:val="Para 1.1"/>
    <w:basedOn w:val="a0"/>
    <w:qFormat/>
    <w:pPr>
      <w:widowControl/>
      <w:spacing w:before="240"/>
      <w:ind w:firstLine="720"/>
      <w:jc w:val="left"/>
    </w:pPr>
    <w:rPr>
      <w:rFonts w:eastAsia="BatangChe"/>
      <w:kern w:val="0"/>
      <w:sz w:val="24"/>
      <w:szCs w:val="20"/>
      <w:lang w:eastAsia="en-US"/>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 w:type="table" w:styleId="ac">
    <w:name w:val="Table Grid"/>
    <w:basedOn w:val="a2"/>
    <w:uiPriority w:val="59"/>
    <w:rsid w:val="00690AAD"/>
    <w:rPr>
      <w:kern w:val="2"/>
      <w:sz w:val="21"/>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cp:lastModifiedBy>王琳瑛</cp:lastModifiedBy>
  <cp:revision>8</cp:revision>
  <dcterms:created xsi:type="dcterms:W3CDTF">2023-08-23T06:37:00Z</dcterms:created>
  <dcterms:modified xsi:type="dcterms:W3CDTF">2025-05-06T11:45:00Z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EEB54EE409DC43EB910291BF13C06743</vt:lpwstr>
  </property>
</Properties>
</file>