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D23">
      <w:pPr>
        <w:rPr/>
      </w:pPr>
      <w:bookmarkStart w:id="0" w:name="_Toc492025749"/>
      <w:bookmarkStart w:id="1" w:name="_Toc467844824"/>
      <w:bookmarkStart w:id="2" w:name="_Toc495656879"/>
      <w:bookmarkStart w:id="3" w:name="_Toc495597280"/>
      <w:bookmarkStart w:id="4" w:name="_Toc479296824"/>
      <w:r>
        <w:t xml:space="preserve">附件   </w:t>
      </w:r>
      <w:bookmarkEnd w:id="0"/>
      <w:bookmarkEnd w:id="1"/>
      <w:bookmarkEnd w:id="2"/>
      <w:bookmarkEnd w:id="3"/>
      <w:bookmarkEnd w:id="4"/>
      <w:r>
        <w:rPr>
          <w:rFonts w:hint="eastAsia"/>
        </w:rPr>
        <w:t>标的资产</w:t>
      </w:r>
      <w:r>
        <w:t>清单</w:t>
      </w:r>
    </w:p>
    <w:p w14:paraId="0CF6EA5B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标的资产清单</w:t>
      </w:r>
    </w:p>
    <w:p w14:paraId="685DD64D">
      <w:pPr>
        <w:jc w:val="right"/>
        <w:rPr/>
      </w:pPr>
      <w:r>
        <w:rPr>
          <w:rFonts w:hint="eastAsia"/>
        </w:rPr>
        <w:t>单位：人民币  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94"/>
        <w:gridCol w:w="712"/>
        <w:gridCol w:w="2381"/>
        <w:gridCol w:w="1126"/>
        <w:gridCol w:w="1187"/>
        <w:gridCol w:w="1456"/>
        <w:gridCol w:w="1637"/>
        <w:gridCol w:w="1485"/>
        <w:gridCol w:w="1557"/>
        <w:gridCol w:w="1556"/>
        <w:gridCol w:w="515"/>
      </w:tblGrid>
      <w:tr w14:paraId="0D64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13B885D">
            <w:pPr>
              <w:rPr/>
            </w:pPr>
            <w:bookmarkStart w:id="5" w:name="_Toc495597281"/>
            <w:bookmarkStart w:id="6" w:name="_Toc494284924"/>
            <w:bookmarkStart w:id="7" w:name="_Toc494285644"/>
            <w:bookmarkStart w:id="8" w:name="_Toc495656880"/>
            <w:r>
              <w:rPr>
                <w:rFonts w:hint="eastAsia"/>
              </w:rPr>
              <w:t>序号</w:t>
            </w:r>
            <w:bookmarkEnd w:id="5"/>
            <w:bookmarkEnd w:id="6"/>
            <w:bookmarkEnd w:id="7"/>
            <w:bookmarkEnd w:id="8"/>
          </w:p>
        </w:tc>
        <w:tc>
          <w:tcPr>
            <w:tcW w:w="694" w:type="dxa"/>
            <w:shd w:val="clear" w:color="auto" w:fill="auto"/>
            <w:vAlign w:val="center"/>
          </w:tcPr>
          <w:p w14:paraId="2B007BB2">
            <w:pPr>
              <w:rPr/>
            </w:pPr>
            <w:bookmarkStart w:id="9" w:name="_Toc495656881"/>
            <w:bookmarkStart w:id="10" w:name="_Toc494285645"/>
            <w:bookmarkStart w:id="11" w:name="_Toc495597282"/>
            <w:bookmarkStart w:id="12" w:name="_Toc494284925"/>
            <w:r>
              <w:rPr>
                <w:rFonts w:hint="eastAsia"/>
              </w:rPr>
              <w:t>借款人</w:t>
            </w:r>
            <w:bookmarkEnd w:id="9"/>
            <w:bookmarkEnd w:id="10"/>
            <w:bookmarkEnd w:id="11"/>
            <w:bookmarkEnd w:id="12"/>
          </w:p>
        </w:tc>
        <w:tc>
          <w:tcPr>
            <w:tcW w:w="712" w:type="dxa"/>
            <w:vAlign w:val="center"/>
          </w:tcPr>
          <w:p w14:paraId="342B3C54">
            <w:pPr>
              <w:rPr/>
            </w:pPr>
            <w:r>
              <w:rPr>
                <w:rFonts w:hint="eastAsia"/>
              </w:rPr>
              <w:t>借款人</w:t>
            </w:r>
            <w:r>
              <w:t>所在地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E44CB7">
            <w:pPr>
              <w:rPr>
                <w:rFonts w:hint="default"/>
                <w:lang w:val="en-US" w:eastAsia="zh-CN"/>
              </w:rPr>
            </w:pPr>
            <w:bookmarkStart w:id="13" w:name="_Toc494284926"/>
            <w:bookmarkStart w:id="14" w:name="_Toc494285646"/>
            <w:bookmarkStart w:id="15" w:name="_Toc495597283"/>
            <w:bookmarkStart w:id="16" w:name="_Toc495656882"/>
            <w:r>
              <w:rPr>
                <w:rFonts w:hint="eastAsia"/>
              </w:rPr>
              <w:t>借款合同名称</w:t>
            </w:r>
            <w:bookmarkEnd w:id="13"/>
            <w:bookmarkEnd w:id="14"/>
            <w:bookmarkEnd w:id="15"/>
            <w:bookmarkEnd w:id="16"/>
            <w:r>
              <w:rPr>
                <w:rFonts w:hint="eastAsia"/>
                <w:lang w:val="en-US" w:eastAsia="zh-CN"/>
              </w:rPr>
              <w:t>及编号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0C627E">
            <w:pPr>
              <w:rPr/>
            </w:pPr>
            <w:bookmarkStart w:id="17" w:name="_Toc494284928"/>
            <w:bookmarkStart w:id="18" w:name="_Toc495656884"/>
            <w:bookmarkStart w:id="19" w:name="_Toc495597285"/>
            <w:bookmarkStart w:id="20" w:name="_Toc494285648"/>
            <w:r>
              <w:rPr>
                <w:rFonts w:hint="eastAsia"/>
              </w:rPr>
              <w:t>担保人</w:t>
            </w:r>
            <w:bookmarkEnd w:id="17"/>
            <w:bookmarkEnd w:id="18"/>
            <w:bookmarkEnd w:id="19"/>
            <w:bookmarkEnd w:id="20"/>
          </w:p>
        </w:tc>
        <w:tc>
          <w:tcPr>
            <w:tcW w:w="1187" w:type="dxa"/>
            <w:vAlign w:val="center"/>
          </w:tcPr>
          <w:p w14:paraId="038EE3E4">
            <w:pPr>
              <w:rPr/>
            </w:pPr>
            <w:r>
              <w:rPr>
                <w:rFonts w:hint="eastAsia"/>
              </w:rPr>
              <w:t>担保人</w:t>
            </w:r>
            <w:r>
              <w:t>所在地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98F5002">
            <w:pPr>
              <w:rPr>
                <w:rFonts w:hint="default"/>
                <w:lang w:val="en-US" w:eastAsia="zh-CN"/>
              </w:rPr>
            </w:pPr>
            <w:bookmarkStart w:id="21" w:name="_Toc495656885"/>
            <w:bookmarkStart w:id="22" w:name="_Toc495597286"/>
            <w:bookmarkStart w:id="23" w:name="_Toc494285649"/>
            <w:bookmarkStart w:id="24" w:name="_Toc494284929"/>
            <w:r>
              <w:rPr>
                <w:rFonts w:hint="eastAsia"/>
              </w:rPr>
              <w:t>担保合同名称</w:t>
            </w:r>
            <w:bookmarkEnd w:id="21"/>
            <w:bookmarkEnd w:id="22"/>
            <w:bookmarkEnd w:id="23"/>
            <w:bookmarkEnd w:id="24"/>
            <w:r>
              <w:rPr>
                <w:rFonts w:hint="eastAsia"/>
                <w:lang w:val="en-US" w:eastAsia="zh-CN"/>
              </w:rPr>
              <w:t>及编号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E2061F">
            <w:pPr>
              <w:rPr/>
            </w:pPr>
            <w:bookmarkStart w:id="25" w:name="_Toc494284931"/>
            <w:bookmarkStart w:id="26" w:name="_Toc494285651"/>
            <w:bookmarkStart w:id="27" w:name="_Toc495656887"/>
            <w:bookmarkStart w:id="28" w:name="_Toc495597288"/>
            <w:r>
              <w:rPr>
                <w:rFonts w:hint="eastAsia"/>
              </w:rPr>
              <w:t>担保物</w:t>
            </w:r>
            <w:bookmarkEnd w:id="25"/>
            <w:bookmarkEnd w:id="26"/>
            <w:bookmarkEnd w:id="27"/>
            <w:bookmarkEnd w:id="28"/>
          </w:p>
        </w:tc>
        <w:tc>
          <w:tcPr>
            <w:tcW w:w="1485" w:type="dxa"/>
            <w:shd w:val="clear" w:color="auto" w:fill="auto"/>
            <w:vAlign w:val="center"/>
          </w:tcPr>
          <w:p w14:paraId="72DA6CAC">
            <w:pPr>
              <w:rPr/>
            </w:pPr>
            <w:bookmarkStart w:id="29" w:name="_Toc494285652"/>
            <w:bookmarkStart w:id="30" w:name="_Toc495597289"/>
            <w:bookmarkStart w:id="31" w:name="_Toc495656888"/>
            <w:bookmarkStart w:id="32" w:name="_Toc494284932"/>
            <w:r>
              <w:rPr>
                <w:rFonts w:hint="eastAsia"/>
              </w:rPr>
              <w:t>基准日</w:t>
            </w:r>
            <w:r>
              <w:t>债权余额</w:t>
            </w:r>
            <w:bookmarkEnd w:id="29"/>
            <w:bookmarkEnd w:id="30"/>
            <w:bookmarkEnd w:id="31"/>
            <w:bookmarkEnd w:id="32"/>
          </w:p>
        </w:tc>
        <w:tc>
          <w:tcPr>
            <w:tcW w:w="1557" w:type="dxa"/>
            <w:shd w:val="clear" w:color="auto" w:fill="auto"/>
            <w:vAlign w:val="center"/>
          </w:tcPr>
          <w:p w14:paraId="6D23A770">
            <w:pPr>
              <w:rPr/>
            </w:pPr>
            <w:bookmarkStart w:id="33" w:name="_Toc494284933"/>
            <w:bookmarkStart w:id="34" w:name="_Toc494285653"/>
            <w:bookmarkStart w:id="35" w:name="_Toc495597290"/>
            <w:bookmarkStart w:id="36" w:name="_Toc495656889"/>
            <w:r>
              <w:rPr>
                <w:rFonts w:hint="eastAsia"/>
              </w:rPr>
              <w:t>基准日</w:t>
            </w:r>
            <w:r>
              <w:t>本金余额</w:t>
            </w:r>
            <w:bookmarkEnd w:id="33"/>
            <w:bookmarkEnd w:id="34"/>
            <w:bookmarkEnd w:id="35"/>
            <w:bookmarkEnd w:id="36"/>
          </w:p>
        </w:tc>
        <w:tc>
          <w:tcPr>
            <w:tcW w:w="1556" w:type="dxa"/>
            <w:shd w:val="clear" w:color="auto" w:fill="auto"/>
            <w:vAlign w:val="center"/>
          </w:tcPr>
          <w:p w14:paraId="5EBD2F0B">
            <w:pPr>
              <w:rPr/>
            </w:pPr>
            <w:bookmarkStart w:id="37" w:name="_Toc495597291"/>
            <w:bookmarkStart w:id="38" w:name="_Toc495656890"/>
            <w:bookmarkStart w:id="39" w:name="_Toc494284934"/>
            <w:bookmarkStart w:id="40" w:name="_Toc494285654"/>
            <w:r>
              <w:rPr>
                <w:rFonts w:hint="eastAsia"/>
              </w:rPr>
              <w:t>基准日</w:t>
            </w:r>
            <w:r>
              <w:t>利息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含利息、罚息、复利、违约金等</w:t>
            </w:r>
            <w:r>
              <w:rPr>
                <w:rFonts w:hint="eastAsia"/>
                <w:lang w:eastAsia="zh-CN"/>
              </w:rPr>
              <w:t>）</w:t>
            </w:r>
            <w:r>
              <w:t>余额</w:t>
            </w:r>
            <w:bookmarkEnd w:id="37"/>
            <w:bookmarkEnd w:id="38"/>
            <w:bookmarkEnd w:id="39"/>
            <w:bookmarkEnd w:id="40"/>
          </w:p>
        </w:tc>
        <w:tc>
          <w:tcPr>
            <w:tcW w:w="515" w:type="dxa"/>
            <w:shd w:val="clear" w:color="auto" w:fill="auto"/>
            <w:vAlign w:val="center"/>
          </w:tcPr>
          <w:p w14:paraId="6F4CBFFE">
            <w:pPr>
              <w:rPr/>
            </w:pPr>
            <w:bookmarkStart w:id="41" w:name="_Toc494284935"/>
            <w:bookmarkStart w:id="42" w:name="_Toc495656891"/>
            <w:bookmarkStart w:id="43" w:name="_Toc494285655"/>
            <w:bookmarkStart w:id="44" w:name="_Toc495597292"/>
            <w:r>
              <w:rPr>
                <w:rFonts w:hint="eastAsia"/>
              </w:rPr>
              <w:t>备注</w:t>
            </w:r>
            <w:bookmarkEnd w:id="41"/>
            <w:bookmarkEnd w:id="42"/>
            <w:bookmarkEnd w:id="43"/>
            <w:bookmarkEnd w:id="44"/>
          </w:p>
        </w:tc>
      </w:tr>
      <w:tr w14:paraId="4696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743AD0E3">
            <w:pPr>
              <w:rPr/>
            </w:pPr>
            <w:bookmarkStart w:id="45" w:name="_Toc494285656"/>
            <w:bookmarkStart w:id="46" w:name="_Toc495597293"/>
            <w:bookmarkStart w:id="47" w:name="_Toc494284936"/>
            <w:bookmarkStart w:id="48" w:name="_Toc495656892"/>
            <w:r>
              <w:rPr>
                <w:rFonts w:hint="eastAsia"/>
              </w:rPr>
              <w:t>1</w:t>
            </w:r>
            <w:bookmarkEnd w:id="45"/>
            <w:bookmarkEnd w:id="46"/>
            <w:bookmarkEnd w:id="47"/>
            <w:bookmarkEnd w:id="48"/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29D230FA">
            <w:pPr>
              <w:rPr/>
            </w:pPr>
            <w:r>
              <w:rPr>
                <w:rFonts w:hint="eastAsia"/>
              </w:rPr>
              <w:t>南京龙州房地产开发有限公司</w:t>
            </w:r>
          </w:p>
        </w:tc>
        <w:tc>
          <w:tcPr>
            <w:tcW w:w="712" w:type="dxa"/>
            <w:vMerge w:val="restart"/>
            <w:vAlign w:val="center"/>
          </w:tcPr>
          <w:p w14:paraId="7BEE070F">
            <w:pPr>
              <w:rPr/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69F61CFF">
            <w:pPr>
              <w:rPr/>
            </w:pPr>
            <w:r>
              <w:rPr>
                <w:rFonts w:hint="eastAsia"/>
              </w:rPr>
              <w:t>《债权转让协议》中铁（2017）债转字88号</w:t>
            </w:r>
          </w:p>
          <w:p w14:paraId="78215933">
            <w:pPr>
              <w:rPr/>
            </w:pPr>
            <w:r>
              <w:rPr>
                <w:rFonts w:hint="eastAsia"/>
              </w:rPr>
              <w:t>《还款合同》中铁（2017）还字88号</w:t>
            </w:r>
          </w:p>
          <w:p w14:paraId="2BDC4C9C">
            <w:pPr>
              <w:rPr/>
            </w:pPr>
            <w:r>
              <w:rPr>
                <w:rFonts w:hint="eastAsia"/>
              </w:rPr>
              <w:t>《还款合同补充协议》中铁（2017）还字88-1号</w:t>
            </w:r>
          </w:p>
          <w:p w14:paraId="313B98BF">
            <w:pPr>
              <w:rPr/>
            </w:pPr>
            <w:r>
              <w:rPr>
                <w:rFonts w:hint="eastAsia"/>
              </w:rPr>
              <w:t>《还款合同补充</w:t>
            </w:r>
            <w:bookmarkStart w:id="49" w:name="_GoBack"/>
            <w:bookmarkEnd w:id="49"/>
            <w:r>
              <w:rPr>
                <w:rFonts w:hint="eastAsia"/>
              </w:rPr>
              <w:t>协议（二）》中铁（2017）还字88-2号</w:t>
            </w:r>
          </w:p>
          <w:p w14:paraId="2C968CF7">
            <w:pPr>
              <w:rPr/>
            </w:pPr>
            <w:r>
              <w:rPr>
                <w:rFonts w:hint="eastAsia"/>
              </w:rPr>
              <w:t>《还款合同补充协议（三）》中铁（2017）还字88-3号</w:t>
            </w:r>
          </w:p>
          <w:p w14:paraId="0FA9440E">
            <w:pPr>
              <w:rPr/>
            </w:pPr>
            <w:r>
              <w:rPr>
                <w:rFonts w:hint="eastAsia"/>
              </w:rPr>
              <w:t>《还款合同补充协议（四）》中铁（2017）还字88-4号</w:t>
            </w:r>
          </w:p>
          <w:p w14:paraId="27FA14D9">
            <w:pPr>
              <w:rPr/>
            </w:pPr>
            <w:r>
              <w:rPr>
                <w:rFonts w:hint="eastAsia"/>
              </w:rPr>
              <w:t>《还款合同补充协议（五）》中铁（2017）还字88-5号</w:t>
            </w:r>
          </w:p>
          <w:p w14:paraId="28ACBF9E">
            <w:pPr>
              <w:rPr/>
            </w:pPr>
            <w:r>
              <w:rPr>
                <w:rFonts w:hint="eastAsia"/>
              </w:rPr>
              <w:t>《还款合同补充协议（六）》中铁（2017）还字88-6号</w:t>
            </w:r>
          </w:p>
          <w:p w14:paraId="62108F18">
            <w:pPr>
              <w:rPr/>
            </w:pPr>
            <w:r>
              <w:rPr>
                <w:rFonts w:hint="eastAsia"/>
              </w:rPr>
              <w:t>《还款合同补充协议（七）》中铁（2017）还字88-7号</w:t>
            </w:r>
          </w:p>
          <w:p w14:paraId="37BBCB07">
            <w:pPr>
              <w:rPr/>
            </w:pPr>
            <w:r>
              <w:rPr>
                <w:rFonts w:hint="eastAsia"/>
              </w:rPr>
              <w:t>《还款合同补充协议》中铁（2017）还字88-</w:t>
            </w:r>
            <w: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2700F2">
            <w:pPr>
              <w:rPr/>
            </w:pPr>
            <w:r>
              <w:rPr>
                <w:rFonts w:hint="eastAsia"/>
              </w:rPr>
              <w:t>南京龙州房地产开发有限公司</w:t>
            </w:r>
          </w:p>
        </w:tc>
        <w:tc>
          <w:tcPr>
            <w:tcW w:w="1187" w:type="dxa"/>
            <w:vAlign w:val="center"/>
          </w:tcPr>
          <w:p w14:paraId="2287C8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BA08458">
            <w:pPr>
              <w:rPr>
                <w:rFonts w:hint="eastAsia"/>
              </w:rPr>
            </w:pPr>
            <w:r>
              <w:rPr>
                <w:rFonts w:hint="eastAsia"/>
              </w:rPr>
              <w:t>中铁（2017）债最高抵字88号《最高额抵押合同》</w:t>
            </w:r>
          </w:p>
          <w:p w14:paraId="264351F0">
            <w:pPr>
              <w:rPr>
                <w:rFonts w:hint="eastAsia"/>
              </w:rPr>
            </w:pPr>
            <w:r>
              <w:rPr>
                <w:rFonts w:hint="eastAsia"/>
              </w:rPr>
              <w:t>中铁（2017）债最高债抵字88-1-01号《最高额抵押合同</w:t>
            </w:r>
            <w:r>
              <w:rPr>
                <w:rFonts w:hint="eastAsia"/>
                <w:lang w:val="en-US" w:eastAsia="zh-CN"/>
              </w:rPr>
              <w:t>补充协议（一）</w:t>
            </w:r>
            <w:r>
              <w:rPr>
                <w:rFonts w:hint="eastAsia"/>
              </w:rPr>
              <w:t>》</w:t>
            </w:r>
          </w:p>
          <w:p w14:paraId="3BE9905A">
            <w:pPr>
              <w:rPr>
                <w:rFonts w:hint="eastAsia"/>
              </w:rPr>
            </w:pPr>
            <w:r>
              <w:rPr>
                <w:rFonts w:hint="eastAsia"/>
              </w:rPr>
              <w:t>中铁（2017）债最高抵字88-5号《最高额抵押合同》</w:t>
            </w:r>
          </w:p>
          <w:p w14:paraId="52E689FA">
            <w:pPr>
              <w:rPr>
                <w:rFonts w:hint="eastAsia"/>
              </w:rPr>
            </w:pPr>
            <w:r>
              <w:rPr>
                <w:rFonts w:hint="eastAsia"/>
              </w:rPr>
              <w:t>中铁（2017）债最高抵字88-11号《最高额抵押合同》</w:t>
            </w:r>
          </w:p>
          <w:p w14:paraId="508DFF97">
            <w:pPr>
              <w:rPr>
                <w:rFonts w:hint="eastAsia"/>
              </w:rPr>
            </w:pPr>
            <w:r>
              <w:rPr>
                <w:rFonts w:hint="eastAsia"/>
              </w:rPr>
              <w:t>中铁（2017）抵字第88-12号</w:t>
            </w:r>
            <w:r>
              <w:rPr>
                <w:rFonts w:hint="eastAsia"/>
                <w:lang w:val="en-US" w:eastAsia="zh-CN"/>
              </w:rPr>
              <w:t>《抵押合同》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54ACAB50">
            <w:pPr>
              <w:rPr>
                <w:rFonts w:hint="eastAsia"/>
              </w:rPr>
            </w:pPr>
            <w:r>
              <w:rPr>
                <w:rFonts w:hint="eastAsia"/>
              </w:rPr>
              <w:t>南京龙州房地产开发有限公司名下位于南京市六合区古尔兹二期B地块商业土地抵押，土地面积为28,689.86㎡；</w:t>
            </w:r>
          </w:p>
          <w:p w14:paraId="032FDF1E">
            <w:pPr>
              <w:rPr>
                <w:rFonts w:hint="eastAsia"/>
              </w:rPr>
            </w:pPr>
            <w:r>
              <w:rPr>
                <w:rFonts w:hint="eastAsia"/>
              </w:rPr>
              <w:t>南京龙州房地产开发有限公司名下位于南京市六合区古尔兹二期B地块上103套公寓及商铺抵押，建筑面积合计10,048.50㎡；</w:t>
            </w:r>
          </w:p>
          <w:p w14:paraId="604DCB4A">
            <w:pPr>
              <w:rPr/>
            </w:pPr>
            <w:r>
              <w:rPr>
                <w:rFonts w:hint="eastAsia"/>
              </w:rPr>
              <w:t>南京龙州房地产开发有限公司名下位于南京市六合区</w:t>
            </w:r>
            <w:r>
              <w:rPr>
                <w:rFonts w:hint="eastAsia"/>
                <w:lang w:val="en-US" w:eastAsia="zh-CN"/>
              </w:rPr>
              <w:t>雄州街道六合万达广场二期在建工程抵押，抵押面积98432.60</w:t>
            </w:r>
            <w:r>
              <w:rPr>
                <w:rFonts w:hint="eastAsia"/>
              </w:rPr>
              <w:t>㎡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110BC51A">
            <w:pPr>
              <w:rPr/>
            </w:pPr>
            <w:r>
              <w:rPr>
                <w:rFonts w:hint="eastAsia"/>
              </w:rPr>
              <w:t>547,726,282.04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3E797DA6">
            <w:pPr>
              <w:rPr/>
            </w:pPr>
            <w:r>
              <w:rPr>
                <w:rFonts w:hint="eastAsia"/>
              </w:rPr>
              <w:t>280,000,000.00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1C0CFD02">
            <w:pPr>
              <w:rPr/>
            </w:pPr>
            <w:r>
              <w:rPr>
                <w:rFonts w:hint="eastAsia"/>
              </w:rPr>
              <w:t>267,726,282.04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14:paraId="3E3A14F9">
            <w:pPr>
              <w:rPr/>
            </w:pPr>
          </w:p>
        </w:tc>
      </w:tr>
      <w:tr w14:paraId="0A6D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5B308941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5AA76C4A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6F018F1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2B4C2B2A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F26407B">
            <w:pPr>
              <w:rPr/>
            </w:pPr>
            <w:r>
              <w:rPr>
                <w:rFonts w:hint="eastAsia"/>
              </w:rPr>
              <w:t>南京东洲房地产开发有限公司</w:t>
            </w:r>
          </w:p>
        </w:tc>
        <w:tc>
          <w:tcPr>
            <w:tcW w:w="1187" w:type="dxa"/>
            <w:vAlign w:val="center"/>
          </w:tcPr>
          <w:p w14:paraId="6488B8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E0C8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中铁（2017）债最高保字88-1号《最高额保证合同》</w:t>
            </w:r>
          </w:p>
          <w:p w14:paraId="032E68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中铁（2017）债最高保字88-1-01号《最高额保证合同补充协议（一）》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217338B3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05D91B96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3230D7EF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4CF296FD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4137EA00">
            <w:pPr>
              <w:rPr/>
            </w:pPr>
          </w:p>
        </w:tc>
      </w:tr>
      <w:tr w14:paraId="12D1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5088FF79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621B4D84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3E7BDE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606F5004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16177F1">
            <w:pPr>
              <w:rPr/>
            </w:pPr>
            <w:r>
              <w:rPr>
                <w:rFonts w:hint="eastAsia"/>
              </w:rPr>
              <w:t>南京建工产业集团有限公司</w:t>
            </w:r>
          </w:p>
        </w:tc>
        <w:tc>
          <w:tcPr>
            <w:tcW w:w="1187" w:type="dxa"/>
            <w:vAlign w:val="center"/>
          </w:tcPr>
          <w:p w14:paraId="17ECC9A6">
            <w:pPr>
              <w:rPr/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07C87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中铁（2017）债最高保字88-2号《最高额保证合同》</w:t>
            </w:r>
          </w:p>
          <w:p w14:paraId="23D8FA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中铁（2017）债最高保字88-2-01号《最高额保证合同补充协议（一）》</w:t>
            </w:r>
          </w:p>
          <w:p w14:paraId="2251CD6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04FF3312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05A885ED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2B018DA3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029A14CA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39417AE9">
            <w:pPr>
              <w:rPr/>
            </w:pPr>
          </w:p>
        </w:tc>
      </w:tr>
      <w:tr w14:paraId="5A26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6EEF0A56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26017B75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468B4D6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33C3BFF8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8BDC357">
            <w:pPr>
              <w:rPr>
                <w:rFonts w:hint="eastAsia"/>
              </w:rPr>
            </w:pPr>
            <w:r>
              <w:rPr>
                <w:rFonts w:hint="eastAsia"/>
              </w:rPr>
              <w:t>南京建工集团有限公司</w:t>
            </w:r>
          </w:p>
        </w:tc>
        <w:tc>
          <w:tcPr>
            <w:tcW w:w="1187" w:type="dxa"/>
            <w:vAlign w:val="center"/>
          </w:tcPr>
          <w:p w14:paraId="60C22C49">
            <w:pPr>
              <w:rPr/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4FCAA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中铁（2017）债最高保字88-3号《最高额保证合同》</w:t>
            </w:r>
          </w:p>
          <w:p w14:paraId="589B6F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中铁（2017）债最高保字88-3-01号《最高额保证合同补充协议（一）》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2E25A8E8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3E372832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3FC9797F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2B2F2303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1E471535">
            <w:pPr>
              <w:rPr/>
            </w:pPr>
          </w:p>
        </w:tc>
      </w:tr>
      <w:tr w14:paraId="4A4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3052D3BD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01371FE5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1BD1063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347F4BB9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2838ECC">
            <w:pPr>
              <w:rPr/>
            </w:pPr>
            <w:r>
              <w:rPr>
                <w:rFonts w:hint="eastAsia"/>
              </w:rPr>
              <w:t>成都瑞欣达企业管理咨询有限公司</w:t>
            </w:r>
          </w:p>
        </w:tc>
        <w:tc>
          <w:tcPr>
            <w:tcW w:w="1187" w:type="dxa"/>
            <w:vAlign w:val="center"/>
          </w:tcPr>
          <w:p w14:paraId="2026B5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成都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665CD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中铁（2017）债最高保字88-4号《最高额保证合同》</w:t>
            </w:r>
          </w:p>
          <w:p w14:paraId="409EDD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中铁（2017）债最高保字88-4-01号《最高额保证合同补充协议（一）》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6F977D66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7DC8FD2C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08A8B689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460BFBF6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1092D5E1">
            <w:pPr>
              <w:rPr/>
            </w:pPr>
          </w:p>
        </w:tc>
      </w:tr>
      <w:tr w14:paraId="358E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153CEED8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323065F0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5CA27D0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7C65AB70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DA9256F">
            <w:pPr>
              <w:rPr/>
            </w:pPr>
            <w:r>
              <w:rPr>
                <w:rFonts w:hint="eastAsia"/>
              </w:rPr>
              <w:t>安徽东洲房地产开发有限公司</w:t>
            </w:r>
          </w:p>
        </w:tc>
        <w:tc>
          <w:tcPr>
            <w:tcW w:w="1187" w:type="dxa"/>
            <w:vAlign w:val="center"/>
          </w:tcPr>
          <w:p w14:paraId="62E541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安徽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D2CF0B4">
            <w:pPr>
              <w:rPr/>
            </w:pPr>
            <w:r>
              <w:rPr>
                <w:rFonts w:hint="eastAsia"/>
                <w:lang w:val="en-US" w:eastAsia="zh-CN"/>
              </w:rPr>
              <w:t>中铁（2017）债最高保字88-5号《最高额保证合同》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29A943CF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54CB1B8C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74456D32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17ECFD47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2108D500">
            <w:pPr>
              <w:rPr/>
            </w:pPr>
          </w:p>
        </w:tc>
      </w:tr>
      <w:tr w14:paraId="47E1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3253C2B2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6E511C51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1A1448A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43017EFC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6FFA9AD">
            <w:pPr>
              <w:rPr/>
            </w:pPr>
            <w:r>
              <w:rPr>
                <w:rFonts w:hint="eastAsia"/>
              </w:rPr>
              <w:t>南京东泰商业资产管理有限公司</w:t>
            </w:r>
          </w:p>
        </w:tc>
        <w:tc>
          <w:tcPr>
            <w:tcW w:w="1187" w:type="dxa"/>
            <w:vAlign w:val="center"/>
          </w:tcPr>
          <w:p w14:paraId="47B657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8CACF7D">
            <w:pPr>
              <w:rPr/>
            </w:pPr>
            <w:r>
              <w:rPr>
                <w:rFonts w:hint="eastAsia"/>
                <w:lang w:val="en-US" w:eastAsia="zh-CN"/>
              </w:rPr>
              <w:t>中铁（2017）债最高保字88-6号《最高额保证合同》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313B9A3D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51DA0D15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5E0D8E24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3A0765C7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648C09BF">
            <w:pPr>
              <w:rPr/>
            </w:pPr>
          </w:p>
        </w:tc>
      </w:tr>
      <w:tr w14:paraId="1D78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759B76D8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66E850A3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02F5C4F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4CC0A75F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4F732CF">
            <w:pPr>
              <w:rPr/>
            </w:pPr>
            <w:r>
              <w:rPr>
                <w:rFonts w:hint="eastAsia"/>
              </w:rPr>
              <w:t>南京龙津房地产开发有限公司</w:t>
            </w:r>
          </w:p>
        </w:tc>
        <w:tc>
          <w:tcPr>
            <w:tcW w:w="1187" w:type="dxa"/>
            <w:vAlign w:val="center"/>
          </w:tcPr>
          <w:p w14:paraId="66ECEC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D3F9CA">
            <w:pPr>
              <w:rPr/>
            </w:pPr>
            <w:r>
              <w:rPr>
                <w:rFonts w:hint="eastAsia"/>
                <w:lang w:val="en-US" w:eastAsia="zh-CN"/>
              </w:rPr>
              <w:t>中铁（2017）债最高保字88-7号《最高额保证合同》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4C537CBE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0B7DDC47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78C48AD2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6A89F96B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358362EF">
            <w:pPr>
              <w:rPr/>
            </w:pPr>
          </w:p>
        </w:tc>
      </w:tr>
      <w:tr w14:paraId="68C0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03" w:type="dxa"/>
            <w:vMerge w:val="continue"/>
            <w:shd w:val="clear" w:color="auto" w:fill="auto"/>
            <w:vAlign w:val="center"/>
          </w:tcPr>
          <w:p w14:paraId="40F1C126">
            <w:pPr>
              <w:rPr>
                <w:rFonts w:hint="eastAsia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 w14:paraId="609BA6BA">
            <w:pPr>
              <w:rPr>
                <w:rFonts w:hint="eastAsia"/>
              </w:rPr>
            </w:pPr>
          </w:p>
        </w:tc>
        <w:tc>
          <w:tcPr>
            <w:tcW w:w="712" w:type="dxa"/>
            <w:vMerge w:val="continue"/>
            <w:vAlign w:val="center"/>
          </w:tcPr>
          <w:p w14:paraId="5DFE4D3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81" w:type="dxa"/>
            <w:vMerge w:val="continue"/>
            <w:shd w:val="clear" w:color="auto" w:fill="auto"/>
            <w:vAlign w:val="center"/>
          </w:tcPr>
          <w:p w14:paraId="04D735D2">
            <w:pPr>
              <w:rPr>
                <w:rFonts w:hint="eastAsi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7AD9E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冯志强、林婷</w:t>
            </w:r>
          </w:p>
        </w:tc>
        <w:tc>
          <w:tcPr>
            <w:tcW w:w="1187" w:type="dxa"/>
            <w:vAlign w:val="center"/>
          </w:tcPr>
          <w:p w14:paraId="72261AB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南京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A61FB53">
            <w:pPr>
              <w:rPr/>
            </w:pPr>
            <w:r>
              <w:rPr>
                <w:rFonts w:hint="eastAsia"/>
                <w:lang w:val="en-US" w:eastAsia="zh-CN"/>
              </w:rPr>
              <w:t>中铁（2017）债最高保字88-8号《最高额保证合同》</w:t>
            </w:r>
          </w:p>
        </w:tc>
        <w:tc>
          <w:tcPr>
            <w:tcW w:w="1637" w:type="dxa"/>
            <w:vMerge w:val="continue"/>
            <w:shd w:val="clear" w:color="auto" w:fill="auto"/>
            <w:vAlign w:val="center"/>
          </w:tcPr>
          <w:p w14:paraId="55897D36">
            <w:pPr>
              <w:rPr>
                <w:rFonts w:hint="eastAsia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 w14:paraId="2F937962">
            <w:pPr>
              <w:rPr>
                <w:rFonts w:hint="eastAsia"/>
              </w:rPr>
            </w:pPr>
          </w:p>
        </w:tc>
        <w:tc>
          <w:tcPr>
            <w:tcW w:w="1557" w:type="dxa"/>
            <w:vMerge w:val="continue"/>
            <w:shd w:val="clear" w:color="auto" w:fill="auto"/>
            <w:vAlign w:val="center"/>
          </w:tcPr>
          <w:p w14:paraId="12E0CCBF">
            <w:pPr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shd w:val="clear" w:color="auto" w:fill="auto"/>
            <w:vAlign w:val="center"/>
          </w:tcPr>
          <w:p w14:paraId="4299A025">
            <w:pPr>
              <w:rPr>
                <w:rFonts w:hint="eastAsia"/>
              </w:rPr>
            </w:pPr>
          </w:p>
        </w:tc>
        <w:tc>
          <w:tcPr>
            <w:tcW w:w="515" w:type="dxa"/>
            <w:vMerge w:val="continue"/>
            <w:shd w:val="clear" w:color="auto" w:fill="auto"/>
            <w:vAlign w:val="center"/>
          </w:tcPr>
          <w:p w14:paraId="6D446ED0">
            <w:pPr>
              <w:rPr/>
            </w:pPr>
          </w:p>
        </w:tc>
      </w:tr>
    </w:tbl>
    <w:p w14:paraId="370CCAEA">
      <w:pPr>
        <w:rPr/>
      </w:pPr>
    </w:p>
    <w:p w14:paraId="6C9DC375"/>
    <w:sectPr>
      <w:pgSz w:w="16838" w:h="11906" w:orient="landscape"/>
      <w:pgMar w:top="1304" w:right="1304" w:bottom="1106" w:left="130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E5761"/>
    <w:rsid w:val="4C4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2025-05-09T09:35:00Z</dcterms:created>
  <dc:creator>ycm</dc:creator>
  <cp:lastModifiedBy>ycm</cp:lastModifiedBy>
  <dcterms:modified xsi:type="dcterms:W3CDTF">2025-05-09T09:35:59Z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761AA915166B49048A63E940C235E45E_11</vt:lpwstr>
  </property>
</Properties>
</file>