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9E2" w:rsidRDefault="006269E2" w:rsidP="006269E2">
      <w:pPr>
        <w:jc w:val="center"/>
        <w:rPr>
          <w:b/>
          <w:sz w:val="32"/>
        </w:rPr>
      </w:pPr>
      <w:r w:rsidRPr="00494524">
        <w:rPr>
          <w:rFonts w:hint="eastAsia"/>
          <w:b/>
          <w:sz w:val="32"/>
        </w:rPr>
        <w:t>中国东方资产管理股份有限公司天津市分公司关于</w:t>
      </w:r>
    </w:p>
    <w:p w:rsidR="000F1B14" w:rsidRDefault="005B0A14" w:rsidP="000F1B14">
      <w:pPr>
        <w:jc w:val="center"/>
        <w:rPr>
          <w:b/>
          <w:sz w:val="32"/>
        </w:rPr>
      </w:pPr>
      <w:r>
        <w:rPr>
          <w:rFonts w:hint="eastAsia"/>
          <w:b/>
          <w:sz w:val="32"/>
        </w:rPr>
        <w:t>天津新天投资有限公司等</w:t>
      </w:r>
      <w:r w:rsidR="006269E2">
        <w:rPr>
          <w:rFonts w:hint="eastAsia"/>
          <w:b/>
          <w:sz w:val="32"/>
        </w:rPr>
        <w:t>6</w:t>
      </w:r>
      <w:r>
        <w:rPr>
          <w:rFonts w:hint="eastAsia"/>
          <w:b/>
          <w:sz w:val="32"/>
        </w:rPr>
        <w:t>户</w:t>
      </w:r>
      <w:r w:rsidR="00436236">
        <w:rPr>
          <w:rFonts w:hint="eastAsia"/>
          <w:b/>
          <w:sz w:val="32"/>
        </w:rPr>
        <w:t>债权资产包</w:t>
      </w:r>
      <w:r w:rsidR="000F1B14">
        <w:rPr>
          <w:rFonts w:hint="eastAsia"/>
          <w:b/>
          <w:sz w:val="32"/>
        </w:rPr>
        <w:t>的</w:t>
      </w:r>
    </w:p>
    <w:p w:rsidR="006269E2" w:rsidRPr="00494524" w:rsidRDefault="006E1172" w:rsidP="000F1B14">
      <w:pPr>
        <w:jc w:val="center"/>
        <w:rPr>
          <w:b/>
          <w:sz w:val="32"/>
        </w:rPr>
      </w:pPr>
      <w:r>
        <w:rPr>
          <w:rFonts w:hint="eastAsia"/>
          <w:b/>
          <w:sz w:val="32"/>
        </w:rPr>
        <w:t>债务</w:t>
      </w:r>
      <w:r w:rsidR="005B0A14">
        <w:rPr>
          <w:rFonts w:hint="eastAsia"/>
          <w:b/>
          <w:sz w:val="32"/>
        </w:rPr>
        <w:t>催收</w:t>
      </w:r>
      <w:proofErr w:type="gramStart"/>
      <w:r w:rsidR="005B0A14">
        <w:rPr>
          <w:rFonts w:hint="eastAsia"/>
          <w:b/>
          <w:sz w:val="32"/>
        </w:rPr>
        <w:t>暨</w:t>
      </w:r>
      <w:r w:rsidR="00B040AA">
        <w:rPr>
          <w:rFonts w:hint="eastAsia"/>
          <w:b/>
          <w:sz w:val="32"/>
        </w:rPr>
        <w:t>资产</w:t>
      </w:r>
      <w:proofErr w:type="gramEnd"/>
      <w:r w:rsidR="006269E2" w:rsidRPr="00494524">
        <w:rPr>
          <w:rFonts w:hint="eastAsia"/>
          <w:b/>
          <w:sz w:val="32"/>
        </w:rPr>
        <w:t>处置公告</w:t>
      </w:r>
    </w:p>
    <w:p w:rsidR="000F1B14" w:rsidRPr="000F1B14" w:rsidRDefault="00AC4D9F" w:rsidP="000F1B14">
      <w:pPr>
        <w:spacing w:line="360" w:lineRule="auto"/>
        <w:ind w:firstLineChars="200" w:firstLine="480"/>
        <w:rPr>
          <w:rFonts w:asciiTheme="minorEastAsia" w:hAnsiTheme="minorEastAsia"/>
          <w:sz w:val="24"/>
        </w:rPr>
      </w:pPr>
      <w:r w:rsidRPr="00B16174">
        <w:rPr>
          <w:rFonts w:asciiTheme="minorEastAsia" w:hAnsiTheme="minorEastAsia" w:hint="eastAsia"/>
          <w:sz w:val="24"/>
        </w:rPr>
        <w:t>中国东方资产管理股份有限公司天津市分公司（以下简称“我分公司”）拟对所持有的</w:t>
      </w:r>
      <w:r w:rsidR="000F1B14">
        <w:rPr>
          <w:rFonts w:asciiTheme="minorEastAsia" w:hAnsiTheme="minorEastAsia" w:hint="eastAsia"/>
          <w:sz w:val="24"/>
        </w:rPr>
        <w:t>天津新天投资有限公司等6户</w:t>
      </w:r>
      <w:r w:rsidRPr="00494524">
        <w:rPr>
          <w:rFonts w:asciiTheme="minorEastAsia" w:hAnsiTheme="minorEastAsia" w:hint="eastAsia"/>
          <w:sz w:val="24"/>
        </w:rPr>
        <w:t>债权</w:t>
      </w:r>
      <w:r w:rsidR="001852D5">
        <w:rPr>
          <w:rFonts w:asciiTheme="minorEastAsia" w:hAnsiTheme="minorEastAsia" w:hint="eastAsia"/>
          <w:sz w:val="24"/>
        </w:rPr>
        <w:t>资产包</w:t>
      </w:r>
      <w:r w:rsidRPr="00F424DC">
        <w:rPr>
          <w:rFonts w:asciiTheme="minorEastAsia" w:hAnsiTheme="minorEastAsia" w:hint="eastAsia"/>
          <w:sz w:val="24"/>
        </w:rPr>
        <w:t>进行处置，特发布此</w:t>
      </w:r>
      <w:r w:rsidRPr="00B16174">
        <w:rPr>
          <w:rFonts w:asciiTheme="minorEastAsia" w:hAnsiTheme="minorEastAsia" w:hint="eastAsia"/>
          <w:sz w:val="24"/>
        </w:rPr>
        <w:t>公告。</w:t>
      </w:r>
      <w:r w:rsidR="000F1B14" w:rsidRPr="000F1B14">
        <w:rPr>
          <w:rFonts w:asciiTheme="minorEastAsia" w:hAnsiTheme="minorEastAsia"/>
          <w:sz w:val="24"/>
        </w:rPr>
        <w:t>现</w:t>
      </w:r>
      <w:r w:rsidR="006B5CF8">
        <w:rPr>
          <w:rFonts w:asciiTheme="minorEastAsia" w:hAnsiTheme="minorEastAsia" w:hint="eastAsia"/>
          <w:sz w:val="24"/>
        </w:rPr>
        <w:t>通知</w:t>
      </w:r>
      <w:r w:rsidR="000F1B14" w:rsidRPr="000F1B14">
        <w:rPr>
          <w:rFonts w:asciiTheme="minorEastAsia" w:hAnsiTheme="minorEastAsia"/>
          <w:sz w:val="24"/>
        </w:rPr>
        <w:t>公告清单中所列</w:t>
      </w:r>
      <w:r w:rsidR="000F1B14" w:rsidRPr="000F1B14">
        <w:rPr>
          <w:rFonts w:asciiTheme="minorEastAsia" w:hAnsiTheme="minorEastAsia" w:hint="eastAsia"/>
          <w:sz w:val="24"/>
        </w:rPr>
        <w:t>包括但不限于</w:t>
      </w:r>
      <w:r w:rsidR="000F1B14" w:rsidRPr="000F1B14">
        <w:rPr>
          <w:rFonts w:asciiTheme="minorEastAsia" w:hAnsiTheme="minorEastAsia"/>
          <w:sz w:val="24"/>
        </w:rPr>
        <w:t>债务人</w:t>
      </w:r>
      <w:r w:rsidR="000F1B14" w:rsidRPr="000F1B14">
        <w:rPr>
          <w:rFonts w:asciiTheme="minorEastAsia" w:hAnsiTheme="minorEastAsia" w:hint="eastAsia"/>
          <w:sz w:val="24"/>
        </w:rPr>
        <w:t>、</w:t>
      </w:r>
      <w:r w:rsidR="000F1B14" w:rsidRPr="000F1B14">
        <w:rPr>
          <w:rFonts w:asciiTheme="minorEastAsia" w:hAnsiTheme="minorEastAsia"/>
          <w:sz w:val="24"/>
        </w:rPr>
        <w:t>担保人及其</w:t>
      </w:r>
      <w:r w:rsidR="000F1B14" w:rsidRPr="000F1B14">
        <w:rPr>
          <w:rFonts w:asciiTheme="minorEastAsia" w:hAnsiTheme="minorEastAsia" w:hint="eastAsia"/>
          <w:sz w:val="24"/>
        </w:rPr>
        <w:t>清算主体等其他相关当事人</w:t>
      </w:r>
      <w:r w:rsidR="000F1B14" w:rsidRPr="000F1B14">
        <w:rPr>
          <w:rFonts w:asciiTheme="minorEastAsia" w:hAnsiTheme="minorEastAsia"/>
          <w:sz w:val="24"/>
        </w:rPr>
        <w:t>，从公告之日起立即向</w:t>
      </w:r>
      <w:r w:rsidR="00157ADB">
        <w:rPr>
          <w:rFonts w:asciiTheme="minorEastAsia" w:hAnsiTheme="minorEastAsia" w:hint="eastAsia"/>
          <w:sz w:val="24"/>
        </w:rPr>
        <w:t>我分公司</w:t>
      </w:r>
      <w:r w:rsidR="000F1B14" w:rsidRPr="000F1B14">
        <w:rPr>
          <w:rFonts w:asciiTheme="minorEastAsia" w:hAnsiTheme="minorEastAsia"/>
          <w:sz w:val="24"/>
        </w:rPr>
        <w:t>履行主债权</w:t>
      </w:r>
      <w:r w:rsidR="000F1B14" w:rsidRPr="000F1B14">
        <w:rPr>
          <w:rFonts w:asciiTheme="minorEastAsia" w:hAnsiTheme="minorEastAsia" w:hint="eastAsia"/>
          <w:sz w:val="24"/>
        </w:rPr>
        <w:t>及借款合同、综合授信合同、</w:t>
      </w:r>
      <w:r w:rsidR="000F1B14" w:rsidRPr="000F1B14">
        <w:rPr>
          <w:rFonts w:asciiTheme="minorEastAsia" w:hAnsiTheme="minorEastAsia"/>
          <w:sz w:val="24"/>
        </w:rPr>
        <w:t>担保合同</w:t>
      </w:r>
      <w:r w:rsidR="000F1B14" w:rsidRPr="000F1B14">
        <w:rPr>
          <w:rFonts w:asciiTheme="minorEastAsia" w:hAnsiTheme="minorEastAsia" w:hint="eastAsia"/>
          <w:sz w:val="24"/>
        </w:rPr>
        <w:t>、保证合同、抵押合同、法院裁判文书等确</w:t>
      </w:r>
      <w:r w:rsidR="000F1B14" w:rsidRPr="000F1B14">
        <w:rPr>
          <w:rFonts w:asciiTheme="minorEastAsia" w:hAnsiTheme="minorEastAsia"/>
          <w:sz w:val="24"/>
        </w:rPr>
        <w:t>定的义务</w:t>
      </w:r>
      <w:r w:rsidR="000F1B14" w:rsidRPr="000F1B14">
        <w:rPr>
          <w:rFonts w:asciiTheme="minorEastAsia" w:hAnsiTheme="minorEastAsia" w:hint="eastAsia"/>
          <w:sz w:val="24"/>
        </w:rPr>
        <w:t>以及其他相关协议项下的全部义务（若债务人、担保人因各种原因发生更名、改制、歇业、吊销营业执照或丧失民事主体资格等情形，请相关承债主体、清算主体代为履行义务或承担清算责任）</w:t>
      </w:r>
      <w:r w:rsidR="000F1B14" w:rsidRPr="000F1B14">
        <w:rPr>
          <w:rFonts w:asciiTheme="minorEastAsia" w:hAnsiTheme="minorEastAsia"/>
          <w:sz w:val="24"/>
        </w:rPr>
        <w:t>。</w:t>
      </w:r>
    </w:p>
    <w:p w:rsidR="00540D6E" w:rsidRPr="00A55D12" w:rsidRDefault="00D0118A" w:rsidP="00E10B42">
      <w:pPr>
        <w:spacing w:line="360" w:lineRule="auto"/>
        <w:ind w:firstLineChars="200" w:firstLine="480"/>
        <w:rPr>
          <w:rFonts w:asciiTheme="minorEastAsia" w:hAnsiTheme="minorEastAsia"/>
          <w:sz w:val="24"/>
        </w:rPr>
      </w:pPr>
      <w:r>
        <w:rPr>
          <w:rFonts w:asciiTheme="minorEastAsia" w:hAnsiTheme="minorEastAsia" w:hint="eastAsia"/>
          <w:sz w:val="24"/>
        </w:rPr>
        <w:t>截至2023年1</w:t>
      </w:r>
      <w:r w:rsidR="00092D65">
        <w:rPr>
          <w:rFonts w:asciiTheme="minorEastAsia" w:hAnsiTheme="minorEastAsia" w:hint="eastAsia"/>
          <w:sz w:val="24"/>
        </w:rPr>
        <w:t>2</w:t>
      </w:r>
      <w:r>
        <w:rPr>
          <w:rFonts w:asciiTheme="minorEastAsia" w:hAnsiTheme="minorEastAsia" w:hint="eastAsia"/>
          <w:sz w:val="24"/>
        </w:rPr>
        <w:t>月31日，</w:t>
      </w:r>
      <w:proofErr w:type="gramStart"/>
      <w:r w:rsidR="00540D6E" w:rsidRPr="004C7A3A">
        <w:rPr>
          <w:rFonts w:asciiTheme="minorEastAsia" w:hAnsiTheme="minorEastAsia" w:hint="eastAsia"/>
          <w:sz w:val="24"/>
        </w:rPr>
        <w:t>本资产包总</w:t>
      </w:r>
      <w:proofErr w:type="gramEnd"/>
      <w:r w:rsidR="00540D6E" w:rsidRPr="004C7A3A">
        <w:rPr>
          <w:rFonts w:asciiTheme="minorEastAsia" w:hAnsiTheme="minorEastAsia" w:hint="eastAsia"/>
          <w:sz w:val="24"/>
        </w:rPr>
        <w:t>金额为</w:t>
      </w:r>
      <w:r w:rsidR="00E479EC" w:rsidRPr="00E479EC">
        <w:rPr>
          <w:rFonts w:asciiTheme="minorEastAsia" w:hAnsiTheme="minorEastAsia"/>
          <w:sz w:val="24"/>
        </w:rPr>
        <w:t>1,566,850,481.72</w:t>
      </w:r>
      <w:r w:rsidR="00540D6E" w:rsidRPr="004C7A3A">
        <w:rPr>
          <w:rFonts w:asciiTheme="minorEastAsia" w:hAnsiTheme="minorEastAsia" w:hint="eastAsia"/>
          <w:sz w:val="24"/>
        </w:rPr>
        <w:t>元，包含债权</w:t>
      </w:r>
      <w:r w:rsidR="000F53E3">
        <w:rPr>
          <w:rFonts w:asciiTheme="minorEastAsia" w:hAnsiTheme="minorEastAsia" w:hint="eastAsia"/>
          <w:sz w:val="24"/>
        </w:rPr>
        <w:t>6</w:t>
      </w:r>
      <w:r w:rsidR="002D6407">
        <w:rPr>
          <w:rFonts w:asciiTheme="minorEastAsia" w:hAnsiTheme="minorEastAsia" w:hint="eastAsia"/>
          <w:sz w:val="24"/>
        </w:rPr>
        <w:t>户，涉及本金</w:t>
      </w:r>
      <w:r w:rsidR="0094687A" w:rsidRPr="0094687A">
        <w:rPr>
          <w:rFonts w:asciiTheme="minorEastAsia" w:hAnsiTheme="minorEastAsia"/>
          <w:sz w:val="24"/>
        </w:rPr>
        <w:t>1,122,888,043.08</w:t>
      </w:r>
      <w:r w:rsidR="00E14B16">
        <w:rPr>
          <w:rFonts w:asciiTheme="minorEastAsia" w:hAnsiTheme="minorEastAsia" w:hint="eastAsia"/>
          <w:sz w:val="24"/>
        </w:rPr>
        <w:t>元，利息</w:t>
      </w:r>
      <w:r w:rsidR="00CB1953" w:rsidRPr="00CB1953">
        <w:rPr>
          <w:rFonts w:asciiTheme="minorEastAsia" w:hAnsiTheme="minorEastAsia"/>
          <w:sz w:val="24"/>
        </w:rPr>
        <w:t>442,129,055.64</w:t>
      </w:r>
      <w:r w:rsidR="00540D6E" w:rsidRPr="004C7A3A">
        <w:rPr>
          <w:rFonts w:asciiTheme="minorEastAsia" w:hAnsiTheme="minorEastAsia" w:hint="eastAsia"/>
          <w:sz w:val="24"/>
        </w:rPr>
        <w:t>元，费用</w:t>
      </w:r>
      <w:r w:rsidR="007203BC">
        <w:rPr>
          <w:rFonts w:asciiTheme="minorEastAsia" w:hAnsiTheme="minorEastAsia" w:hint="eastAsia"/>
          <w:sz w:val="24"/>
        </w:rPr>
        <w:t>1,833,383元</w:t>
      </w:r>
      <w:r w:rsidR="006B5CF8">
        <w:rPr>
          <w:rFonts w:asciiTheme="minorEastAsia" w:hAnsiTheme="minorEastAsia" w:hint="eastAsia"/>
          <w:sz w:val="24"/>
        </w:rPr>
        <w:t>（</w:t>
      </w:r>
      <w:r w:rsidR="006B5CF8" w:rsidRPr="006B5CF8">
        <w:rPr>
          <w:rFonts w:asciiTheme="minorEastAsia" w:hAnsiTheme="minorEastAsia" w:hint="eastAsia"/>
          <w:sz w:val="24"/>
        </w:rPr>
        <w:t>利息、罚息、实现债权的费用等按借款合同、担保合同、中国人民银行的有关规定及生效法律文书确认为准</w:t>
      </w:r>
      <w:r w:rsidR="006B5CF8">
        <w:rPr>
          <w:rFonts w:asciiTheme="minorEastAsia" w:hAnsiTheme="minorEastAsia" w:hint="eastAsia"/>
          <w:sz w:val="24"/>
        </w:rPr>
        <w:t>）</w:t>
      </w:r>
      <w:r w:rsidR="00A55D12">
        <w:rPr>
          <w:rFonts w:asciiTheme="minorEastAsia" w:hAnsiTheme="minorEastAsia" w:hint="eastAsia"/>
          <w:sz w:val="24"/>
        </w:rPr>
        <w:t>，</w:t>
      </w:r>
      <w:r w:rsidR="00D413D0">
        <w:rPr>
          <w:rFonts w:asciiTheme="minorEastAsia" w:hAnsiTheme="minorEastAsia" w:hint="eastAsia"/>
          <w:sz w:val="24"/>
        </w:rPr>
        <w:t>资产所在地为</w:t>
      </w:r>
      <w:r w:rsidR="00B343B4">
        <w:rPr>
          <w:rFonts w:asciiTheme="minorEastAsia" w:hAnsiTheme="minorEastAsia" w:hint="eastAsia"/>
          <w:sz w:val="24"/>
        </w:rPr>
        <w:t>天津市</w:t>
      </w:r>
      <w:r w:rsidR="00540D6E" w:rsidRPr="004C7A3A">
        <w:rPr>
          <w:rFonts w:asciiTheme="minorEastAsia" w:hAnsiTheme="minorEastAsia" w:hint="eastAsia"/>
          <w:sz w:val="24"/>
        </w:rPr>
        <w:t>。</w:t>
      </w:r>
    </w:p>
    <w:p w:rsidR="00B40E70" w:rsidRDefault="00540D6E" w:rsidP="00900291">
      <w:pPr>
        <w:spacing w:line="360" w:lineRule="auto"/>
        <w:ind w:firstLineChars="200" w:firstLine="480"/>
        <w:rPr>
          <w:rFonts w:asciiTheme="minorEastAsia" w:hAnsiTheme="minorEastAsia"/>
          <w:sz w:val="24"/>
        </w:rPr>
      </w:pPr>
      <w:r w:rsidRPr="004C7A3A">
        <w:rPr>
          <w:rFonts w:asciiTheme="minorEastAsia" w:hAnsiTheme="minorEastAsia" w:hint="eastAsia"/>
          <w:sz w:val="24"/>
        </w:rPr>
        <w:t>具体</w:t>
      </w:r>
      <w:proofErr w:type="gramStart"/>
      <w:r w:rsidRPr="004C7A3A">
        <w:rPr>
          <w:rFonts w:asciiTheme="minorEastAsia" w:hAnsiTheme="minorEastAsia" w:hint="eastAsia"/>
          <w:sz w:val="24"/>
        </w:rPr>
        <w:t>分布见</w:t>
      </w:r>
      <w:proofErr w:type="gramEnd"/>
      <w:r w:rsidRPr="004C7A3A">
        <w:rPr>
          <w:rFonts w:asciiTheme="minorEastAsia" w:hAnsiTheme="minorEastAsia" w:hint="eastAsia"/>
          <w:sz w:val="24"/>
        </w:rPr>
        <w:t xml:space="preserve">下表： </w:t>
      </w:r>
    </w:p>
    <w:tbl>
      <w:tblPr>
        <w:tblW w:w="11199"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993"/>
        <w:gridCol w:w="850"/>
        <w:gridCol w:w="1985"/>
        <w:gridCol w:w="1701"/>
        <w:gridCol w:w="1417"/>
        <w:gridCol w:w="2268"/>
      </w:tblGrid>
      <w:tr w:rsidR="008A7F98" w:rsidRPr="008A7F98" w:rsidTr="00DF76A2">
        <w:trPr>
          <w:trHeight w:val="285"/>
        </w:trPr>
        <w:tc>
          <w:tcPr>
            <w:tcW w:w="709" w:type="dxa"/>
            <w:shd w:val="clear" w:color="auto" w:fill="auto"/>
            <w:vAlign w:val="center"/>
          </w:tcPr>
          <w:p w:rsidR="008A7F98" w:rsidRPr="008A7F98" w:rsidRDefault="008A7F98" w:rsidP="008A7F98">
            <w:pPr>
              <w:jc w:val="center"/>
              <w:rPr>
                <w:rFonts w:asciiTheme="minorEastAsia" w:hAnsiTheme="minorEastAsia"/>
              </w:rPr>
            </w:pPr>
            <w:r w:rsidRPr="008A7F98">
              <w:rPr>
                <w:rFonts w:asciiTheme="minorEastAsia" w:hAnsiTheme="minorEastAsia"/>
              </w:rPr>
              <w:t>序号</w:t>
            </w:r>
          </w:p>
        </w:tc>
        <w:tc>
          <w:tcPr>
            <w:tcW w:w="1276" w:type="dxa"/>
            <w:shd w:val="clear" w:color="auto" w:fill="auto"/>
            <w:vAlign w:val="center"/>
            <w:hideMark/>
          </w:tcPr>
          <w:p w:rsidR="008A7F98" w:rsidRPr="008A7F98" w:rsidRDefault="008A7F98" w:rsidP="008A7F98">
            <w:pPr>
              <w:jc w:val="center"/>
              <w:rPr>
                <w:rFonts w:asciiTheme="minorEastAsia" w:hAnsiTheme="minorEastAsia"/>
              </w:rPr>
            </w:pPr>
            <w:r w:rsidRPr="008A7F98">
              <w:rPr>
                <w:rFonts w:asciiTheme="minorEastAsia" w:hAnsiTheme="minorEastAsia"/>
              </w:rPr>
              <w:t>资产名称</w:t>
            </w:r>
          </w:p>
        </w:tc>
        <w:tc>
          <w:tcPr>
            <w:tcW w:w="993" w:type="dxa"/>
            <w:shd w:val="clear" w:color="auto" w:fill="auto"/>
            <w:vAlign w:val="center"/>
            <w:hideMark/>
          </w:tcPr>
          <w:p w:rsidR="00250992" w:rsidRDefault="008A7F98" w:rsidP="008A7F98">
            <w:pPr>
              <w:jc w:val="center"/>
              <w:rPr>
                <w:rFonts w:asciiTheme="minorEastAsia" w:hAnsiTheme="minorEastAsia"/>
              </w:rPr>
            </w:pPr>
            <w:r w:rsidRPr="008A7F98">
              <w:rPr>
                <w:rFonts w:asciiTheme="minorEastAsia" w:hAnsiTheme="minorEastAsia"/>
              </w:rPr>
              <w:t>资产</w:t>
            </w:r>
          </w:p>
          <w:p w:rsidR="008A7F98" w:rsidRPr="008A7F98" w:rsidRDefault="008A7F98" w:rsidP="008A7F98">
            <w:pPr>
              <w:jc w:val="center"/>
              <w:rPr>
                <w:rFonts w:asciiTheme="minorEastAsia" w:hAnsiTheme="minorEastAsia"/>
              </w:rPr>
            </w:pPr>
            <w:r w:rsidRPr="008A7F98">
              <w:rPr>
                <w:rFonts w:asciiTheme="minorEastAsia" w:hAnsiTheme="minorEastAsia"/>
              </w:rPr>
              <w:t>形态</w:t>
            </w:r>
          </w:p>
        </w:tc>
        <w:tc>
          <w:tcPr>
            <w:tcW w:w="850" w:type="dxa"/>
            <w:shd w:val="clear" w:color="auto" w:fill="auto"/>
            <w:vAlign w:val="center"/>
          </w:tcPr>
          <w:p w:rsidR="008A7F98" w:rsidRPr="008A7F98" w:rsidRDefault="008A7F98" w:rsidP="008A7F98">
            <w:pPr>
              <w:jc w:val="center"/>
              <w:rPr>
                <w:rFonts w:asciiTheme="minorEastAsia" w:hAnsiTheme="minorEastAsia"/>
              </w:rPr>
            </w:pPr>
            <w:r w:rsidRPr="008A7F98">
              <w:rPr>
                <w:rFonts w:asciiTheme="minorEastAsia" w:hAnsiTheme="minorEastAsia"/>
              </w:rPr>
              <w:t>资产所在地</w:t>
            </w:r>
          </w:p>
        </w:tc>
        <w:tc>
          <w:tcPr>
            <w:tcW w:w="1985" w:type="dxa"/>
            <w:shd w:val="clear" w:color="auto" w:fill="auto"/>
            <w:vAlign w:val="center"/>
            <w:hideMark/>
          </w:tcPr>
          <w:p w:rsidR="008A7F98" w:rsidRPr="008A7F98" w:rsidRDefault="008A7F98" w:rsidP="008A7F98">
            <w:pPr>
              <w:jc w:val="center"/>
              <w:rPr>
                <w:rFonts w:asciiTheme="minorEastAsia" w:hAnsiTheme="minorEastAsia"/>
              </w:rPr>
            </w:pPr>
            <w:r w:rsidRPr="008A7F98">
              <w:rPr>
                <w:rFonts w:asciiTheme="minorEastAsia" w:hAnsiTheme="minorEastAsia"/>
              </w:rPr>
              <w:t>本金余额</w:t>
            </w:r>
          </w:p>
          <w:p w:rsidR="008A7F98" w:rsidRPr="008A7F98" w:rsidRDefault="008A7F98" w:rsidP="008A7F98">
            <w:pPr>
              <w:jc w:val="center"/>
              <w:rPr>
                <w:rFonts w:asciiTheme="minorEastAsia" w:hAnsiTheme="minorEastAsia"/>
              </w:rPr>
            </w:pPr>
            <w:r w:rsidRPr="008A7F98">
              <w:rPr>
                <w:rFonts w:asciiTheme="minorEastAsia" w:hAnsiTheme="minorEastAsia"/>
              </w:rPr>
              <w:t>（人民币元）</w:t>
            </w:r>
          </w:p>
        </w:tc>
        <w:tc>
          <w:tcPr>
            <w:tcW w:w="1701" w:type="dxa"/>
            <w:shd w:val="clear" w:color="auto" w:fill="auto"/>
            <w:vAlign w:val="center"/>
            <w:hideMark/>
          </w:tcPr>
          <w:p w:rsidR="008A7F98" w:rsidRPr="008A7F98" w:rsidRDefault="008A7F98" w:rsidP="008A7F98">
            <w:pPr>
              <w:jc w:val="center"/>
              <w:rPr>
                <w:rFonts w:asciiTheme="minorEastAsia" w:hAnsiTheme="minorEastAsia"/>
              </w:rPr>
            </w:pPr>
            <w:r w:rsidRPr="008A7F98">
              <w:rPr>
                <w:rFonts w:asciiTheme="minorEastAsia" w:hAnsiTheme="minorEastAsia"/>
              </w:rPr>
              <w:t>欠息余额</w:t>
            </w:r>
          </w:p>
          <w:p w:rsidR="008A7F98" w:rsidRPr="008A7F98" w:rsidRDefault="008A7F98" w:rsidP="008A7F98">
            <w:pPr>
              <w:jc w:val="center"/>
              <w:rPr>
                <w:rFonts w:asciiTheme="minorEastAsia" w:hAnsiTheme="minorEastAsia"/>
              </w:rPr>
            </w:pPr>
            <w:r w:rsidRPr="008A7F98">
              <w:rPr>
                <w:rFonts w:asciiTheme="minorEastAsia" w:hAnsiTheme="minorEastAsia"/>
              </w:rPr>
              <w:t>（人民币元）</w:t>
            </w:r>
          </w:p>
        </w:tc>
        <w:tc>
          <w:tcPr>
            <w:tcW w:w="1417" w:type="dxa"/>
            <w:shd w:val="clear" w:color="auto" w:fill="auto"/>
            <w:vAlign w:val="center"/>
            <w:hideMark/>
          </w:tcPr>
          <w:p w:rsidR="008A7F98" w:rsidRPr="008A7F98" w:rsidRDefault="008A7F98" w:rsidP="008A7F98">
            <w:pPr>
              <w:jc w:val="center"/>
              <w:rPr>
                <w:rFonts w:asciiTheme="minorEastAsia" w:hAnsiTheme="minorEastAsia"/>
              </w:rPr>
            </w:pPr>
            <w:r w:rsidRPr="008A7F98">
              <w:rPr>
                <w:rFonts w:asciiTheme="minorEastAsia" w:hAnsiTheme="minorEastAsia"/>
              </w:rPr>
              <w:t>费用余额</w:t>
            </w:r>
          </w:p>
          <w:p w:rsidR="008A7F98" w:rsidRPr="008A7F98" w:rsidRDefault="008A7F98" w:rsidP="008A7F98">
            <w:pPr>
              <w:jc w:val="center"/>
              <w:rPr>
                <w:rFonts w:asciiTheme="minorEastAsia" w:hAnsiTheme="minorEastAsia"/>
              </w:rPr>
            </w:pPr>
            <w:r w:rsidRPr="008A7F98">
              <w:rPr>
                <w:rFonts w:asciiTheme="minorEastAsia" w:hAnsiTheme="minorEastAsia"/>
              </w:rPr>
              <w:t>（人民币元）</w:t>
            </w:r>
          </w:p>
        </w:tc>
        <w:tc>
          <w:tcPr>
            <w:tcW w:w="2268" w:type="dxa"/>
            <w:shd w:val="clear" w:color="auto" w:fill="auto"/>
            <w:vAlign w:val="center"/>
          </w:tcPr>
          <w:p w:rsidR="008A7F98" w:rsidRPr="008A7F98" w:rsidRDefault="008A7F98" w:rsidP="008A7F98">
            <w:pPr>
              <w:jc w:val="center"/>
              <w:rPr>
                <w:rFonts w:asciiTheme="minorEastAsia" w:hAnsiTheme="minorEastAsia"/>
              </w:rPr>
            </w:pPr>
            <w:r w:rsidRPr="008A7F98">
              <w:rPr>
                <w:rFonts w:asciiTheme="minorEastAsia" w:hAnsiTheme="minorEastAsia"/>
              </w:rPr>
              <w:t>担保及抵押情况</w:t>
            </w:r>
          </w:p>
        </w:tc>
      </w:tr>
      <w:tr w:rsidR="008A7F98" w:rsidRPr="008A7F98" w:rsidTr="00DF76A2">
        <w:trPr>
          <w:trHeight w:val="285"/>
        </w:trPr>
        <w:tc>
          <w:tcPr>
            <w:tcW w:w="709" w:type="dxa"/>
            <w:shd w:val="clear" w:color="auto" w:fill="auto"/>
            <w:vAlign w:val="center"/>
          </w:tcPr>
          <w:p w:rsidR="008A7F98" w:rsidRPr="008A7F98" w:rsidRDefault="008A7F98" w:rsidP="008A7F98">
            <w:pPr>
              <w:jc w:val="center"/>
              <w:rPr>
                <w:rFonts w:asciiTheme="minorEastAsia" w:hAnsiTheme="minorEastAsia"/>
              </w:rPr>
            </w:pPr>
            <w:r w:rsidRPr="008A7F98">
              <w:rPr>
                <w:rFonts w:asciiTheme="minorEastAsia" w:hAnsiTheme="minorEastAsia"/>
              </w:rPr>
              <w:t>1</w:t>
            </w:r>
          </w:p>
        </w:tc>
        <w:tc>
          <w:tcPr>
            <w:tcW w:w="1276" w:type="dxa"/>
            <w:shd w:val="clear" w:color="auto" w:fill="auto"/>
            <w:vAlign w:val="center"/>
            <w:hideMark/>
          </w:tcPr>
          <w:p w:rsidR="008A7F98" w:rsidRPr="008A7F98" w:rsidRDefault="008A7F98" w:rsidP="008A7F98">
            <w:pPr>
              <w:rPr>
                <w:rFonts w:asciiTheme="minorEastAsia" w:hAnsiTheme="minorEastAsia"/>
              </w:rPr>
            </w:pPr>
            <w:r w:rsidRPr="008A7F98">
              <w:rPr>
                <w:rFonts w:asciiTheme="minorEastAsia" w:hAnsiTheme="minorEastAsia"/>
              </w:rPr>
              <w:t>天津新天投资有限公司债权</w:t>
            </w:r>
          </w:p>
        </w:tc>
        <w:tc>
          <w:tcPr>
            <w:tcW w:w="993" w:type="dxa"/>
            <w:shd w:val="clear" w:color="auto" w:fill="auto"/>
            <w:vAlign w:val="center"/>
            <w:hideMark/>
          </w:tcPr>
          <w:p w:rsidR="008A7F98" w:rsidRPr="008A7F98" w:rsidRDefault="008A7F98" w:rsidP="008A7F98">
            <w:pPr>
              <w:jc w:val="center"/>
              <w:rPr>
                <w:rFonts w:asciiTheme="minorEastAsia" w:hAnsiTheme="minorEastAsia"/>
              </w:rPr>
            </w:pPr>
            <w:r w:rsidRPr="008A7F98">
              <w:rPr>
                <w:rFonts w:asciiTheme="minorEastAsia" w:hAnsiTheme="minorEastAsia"/>
              </w:rPr>
              <w:t>债权</w:t>
            </w:r>
          </w:p>
        </w:tc>
        <w:tc>
          <w:tcPr>
            <w:tcW w:w="850" w:type="dxa"/>
            <w:shd w:val="clear" w:color="auto" w:fill="auto"/>
            <w:vAlign w:val="center"/>
          </w:tcPr>
          <w:p w:rsidR="008A7F98" w:rsidRPr="008A7F98" w:rsidRDefault="008A7F98" w:rsidP="008A7F98">
            <w:pPr>
              <w:jc w:val="center"/>
              <w:rPr>
                <w:rFonts w:asciiTheme="minorEastAsia" w:hAnsiTheme="minorEastAsia"/>
              </w:rPr>
            </w:pPr>
            <w:r w:rsidRPr="008A7F98">
              <w:rPr>
                <w:rFonts w:asciiTheme="minorEastAsia" w:hAnsiTheme="minorEastAsia"/>
              </w:rPr>
              <w:t>天津</w:t>
            </w:r>
          </w:p>
        </w:tc>
        <w:tc>
          <w:tcPr>
            <w:tcW w:w="1985" w:type="dxa"/>
            <w:shd w:val="clear" w:color="auto" w:fill="auto"/>
            <w:noWrap/>
            <w:vAlign w:val="center"/>
            <w:hideMark/>
          </w:tcPr>
          <w:p w:rsidR="008A7F98" w:rsidRPr="008A7F98" w:rsidRDefault="008A7F98" w:rsidP="008A7F98">
            <w:pPr>
              <w:rPr>
                <w:rFonts w:asciiTheme="minorEastAsia" w:hAnsiTheme="minorEastAsia"/>
              </w:rPr>
            </w:pPr>
            <w:r w:rsidRPr="008A7F98">
              <w:rPr>
                <w:rFonts w:asciiTheme="minorEastAsia" w:hAnsiTheme="minorEastAsia"/>
              </w:rPr>
              <w:t>512,300,000.00</w:t>
            </w:r>
          </w:p>
        </w:tc>
        <w:tc>
          <w:tcPr>
            <w:tcW w:w="1701" w:type="dxa"/>
            <w:shd w:val="clear" w:color="auto" w:fill="auto"/>
            <w:vAlign w:val="center"/>
            <w:hideMark/>
          </w:tcPr>
          <w:p w:rsidR="008A7F98" w:rsidRPr="008A7F98" w:rsidRDefault="008A7F98" w:rsidP="008A7F98">
            <w:pPr>
              <w:rPr>
                <w:rFonts w:asciiTheme="minorEastAsia" w:hAnsiTheme="minorEastAsia"/>
              </w:rPr>
            </w:pPr>
            <w:r w:rsidRPr="008A7F98">
              <w:rPr>
                <w:rFonts w:asciiTheme="minorEastAsia" w:hAnsiTheme="minorEastAsia"/>
              </w:rPr>
              <w:t>111,130,562.64</w:t>
            </w:r>
          </w:p>
        </w:tc>
        <w:tc>
          <w:tcPr>
            <w:tcW w:w="1417" w:type="dxa"/>
            <w:shd w:val="clear" w:color="auto" w:fill="auto"/>
            <w:vAlign w:val="center"/>
            <w:hideMark/>
          </w:tcPr>
          <w:p w:rsidR="008A7F98" w:rsidRPr="008A7F98" w:rsidRDefault="008A7F98" w:rsidP="008A7F98">
            <w:pPr>
              <w:rPr>
                <w:rFonts w:asciiTheme="minorEastAsia" w:hAnsiTheme="minorEastAsia"/>
              </w:rPr>
            </w:pPr>
          </w:p>
        </w:tc>
        <w:tc>
          <w:tcPr>
            <w:tcW w:w="2268" w:type="dxa"/>
            <w:shd w:val="clear" w:color="auto" w:fill="auto"/>
            <w:vAlign w:val="center"/>
          </w:tcPr>
          <w:p w:rsidR="008A7F98" w:rsidRPr="008A7F98" w:rsidRDefault="008A7F98" w:rsidP="008A7F98">
            <w:pPr>
              <w:rPr>
                <w:rFonts w:asciiTheme="minorEastAsia" w:hAnsiTheme="minorEastAsia"/>
              </w:rPr>
            </w:pPr>
            <w:r w:rsidRPr="008A7F98">
              <w:rPr>
                <w:rFonts w:asciiTheme="minorEastAsia" w:hAnsiTheme="minorEastAsia"/>
              </w:rPr>
              <w:t>保证人：天津大通投资集团有限公司、李占通</w:t>
            </w:r>
            <w:r w:rsidR="00F601C6">
              <w:rPr>
                <w:rFonts w:asciiTheme="minorEastAsia" w:hAnsiTheme="minorEastAsia" w:hint="eastAsia"/>
              </w:rPr>
              <w:t>、</w:t>
            </w:r>
            <w:r w:rsidR="004658B8">
              <w:rPr>
                <w:rFonts w:asciiTheme="minorEastAsia" w:hAnsiTheme="minorEastAsia" w:hint="eastAsia"/>
              </w:rPr>
              <w:t>张丽娟</w:t>
            </w:r>
          </w:p>
          <w:p w:rsidR="008A7F98" w:rsidRPr="008A7F98" w:rsidRDefault="008A7F98" w:rsidP="008A7F98">
            <w:pPr>
              <w:rPr>
                <w:rFonts w:asciiTheme="minorEastAsia" w:hAnsiTheme="minorEastAsia"/>
              </w:rPr>
            </w:pPr>
            <w:r w:rsidRPr="008A7F98">
              <w:rPr>
                <w:rFonts w:asciiTheme="minorEastAsia" w:hAnsiTheme="minorEastAsia"/>
              </w:rPr>
              <w:t>抵押人：天津新天投资有限公司以位于天津市和平区滨江道1号的金谷大厦71套房</w:t>
            </w:r>
            <w:proofErr w:type="gramStart"/>
            <w:r w:rsidRPr="008A7F98">
              <w:rPr>
                <w:rFonts w:asciiTheme="minorEastAsia" w:hAnsiTheme="minorEastAsia"/>
              </w:rPr>
              <w:t>产提供</w:t>
            </w:r>
            <w:proofErr w:type="gramEnd"/>
            <w:r w:rsidRPr="008A7F98">
              <w:rPr>
                <w:rFonts w:asciiTheme="minorEastAsia" w:hAnsiTheme="minorEastAsia"/>
              </w:rPr>
              <w:t>抵押担保</w:t>
            </w:r>
          </w:p>
        </w:tc>
      </w:tr>
      <w:tr w:rsidR="008A7F98" w:rsidRPr="008A7F98" w:rsidTr="00DF76A2">
        <w:trPr>
          <w:trHeight w:val="450"/>
        </w:trPr>
        <w:tc>
          <w:tcPr>
            <w:tcW w:w="709" w:type="dxa"/>
            <w:shd w:val="clear" w:color="auto" w:fill="auto"/>
            <w:vAlign w:val="center"/>
          </w:tcPr>
          <w:p w:rsidR="008A7F98" w:rsidRPr="008A7F98" w:rsidRDefault="008A7F98" w:rsidP="008A7F98">
            <w:pPr>
              <w:jc w:val="center"/>
              <w:rPr>
                <w:rFonts w:asciiTheme="minorEastAsia" w:hAnsiTheme="minorEastAsia"/>
              </w:rPr>
            </w:pPr>
            <w:r w:rsidRPr="008A7F98">
              <w:rPr>
                <w:rFonts w:asciiTheme="minorEastAsia" w:hAnsiTheme="minorEastAsia"/>
              </w:rPr>
              <w:t>2</w:t>
            </w:r>
          </w:p>
        </w:tc>
        <w:tc>
          <w:tcPr>
            <w:tcW w:w="1276" w:type="dxa"/>
            <w:shd w:val="clear" w:color="auto" w:fill="auto"/>
            <w:vAlign w:val="center"/>
            <w:hideMark/>
          </w:tcPr>
          <w:p w:rsidR="008A7F98" w:rsidRPr="008A7F98" w:rsidRDefault="008A7F98" w:rsidP="008A7F98">
            <w:pPr>
              <w:rPr>
                <w:rFonts w:asciiTheme="minorEastAsia" w:hAnsiTheme="minorEastAsia"/>
              </w:rPr>
            </w:pPr>
            <w:r w:rsidRPr="008A7F98">
              <w:rPr>
                <w:rFonts w:asciiTheme="minorEastAsia" w:hAnsiTheme="minorEastAsia"/>
              </w:rPr>
              <w:t>天津市集睿科技投资有限公司债权</w:t>
            </w:r>
          </w:p>
        </w:tc>
        <w:tc>
          <w:tcPr>
            <w:tcW w:w="993" w:type="dxa"/>
            <w:shd w:val="clear" w:color="auto" w:fill="auto"/>
            <w:vAlign w:val="center"/>
            <w:hideMark/>
          </w:tcPr>
          <w:p w:rsidR="008A7F98" w:rsidRPr="008A7F98" w:rsidRDefault="008A7F98" w:rsidP="008A7F98">
            <w:pPr>
              <w:jc w:val="center"/>
              <w:rPr>
                <w:rFonts w:asciiTheme="minorEastAsia" w:hAnsiTheme="minorEastAsia"/>
              </w:rPr>
            </w:pPr>
            <w:r w:rsidRPr="008A7F98">
              <w:rPr>
                <w:rFonts w:asciiTheme="minorEastAsia" w:hAnsiTheme="minorEastAsia"/>
              </w:rPr>
              <w:t>债权</w:t>
            </w:r>
          </w:p>
        </w:tc>
        <w:tc>
          <w:tcPr>
            <w:tcW w:w="850" w:type="dxa"/>
            <w:shd w:val="clear" w:color="auto" w:fill="auto"/>
            <w:vAlign w:val="center"/>
          </w:tcPr>
          <w:p w:rsidR="008A7F98" w:rsidRPr="008A7F98" w:rsidRDefault="008A7F98" w:rsidP="008A7F98">
            <w:pPr>
              <w:jc w:val="center"/>
              <w:rPr>
                <w:rFonts w:asciiTheme="minorEastAsia" w:hAnsiTheme="minorEastAsia"/>
              </w:rPr>
            </w:pPr>
            <w:r w:rsidRPr="008A7F98">
              <w:rPr>
                <w:rFonts w:asciiTheme="minorEastAsia" w:hAnsiTheme="minorEastAsia"/>
              </w:rPr>
              <w:t>天津</w:t>
            </w:r>
          </w:p>
        </w:tc>
        <w:tc>
          <w:tcPr>
            <w:tcW w:w="1985" w:type="dxa"/>
            <w:shd w:val="clear" w:color="auto" w:fill="auto"/>
            <w:noWrap/>
            <w:vAlign w:val="center"/>
            <w:hideMark/>
          </w:tcPr>
          <w:p w:rsidR="008A7F98" w:rsidRPr="008A7F98" w:rsidRDefault="008A7F98" w:rsidP="008A7F98">
            <w:pPr>
              <w:rPr>
                <w:rFonts w:asciiTheme="minorEastAsia" w:hAnsiTheme="minorEastAsia"/>
              </w:rPr>
            </w:pPr>
            <w:r w:rsidRPr="008A7F98">
              <w:rPr>
                <w:rFonts w:asciiTheme="minorEastAsia" w:hAnsiTheme="minorEastAsia"/>
              </w:rPr>
              <w:t>61,704,162.27</w:t>
            </w:r>
          </w:p>
        </w:tc>
        <w:tc>
          <w:tcPr>
            <w:tcW w:w="1701" w:type="dxa"/>
            <w:shd w:val="clear" w:color="auto" w:fill="auto"/>
            <w:vAlign w:val="center"/>
            <w:hideMark/>
          </w:tcPr>
          <w:p w:rsidR="008A7F98" w:rsidRPr="008A7F98" w:rsidRDefault="008A7F98" w:rsidP="008A7F98">
            <w:pPr>
              <w:rPr>
                <w:rFonts w:asciiTheme="minorEastAsia" w:hAnsiTheme="minorEastAsia"/>
              </w:rPr>
            </w:pPr>
            <w:r w:rsidRPr="008A7F98">
              <w:rPr>
                <w:rFonts w:asciiTheme="minorEastAsia" w:hAnsiTheme="minorEastAsia"/>
              </w:rPr>
              <w:t>30,642,070.35</w:t>
            </w:r>
          </w:p>
        </w:tc>
        <w:tc>
          <w:tcPr>
            <w:tcW w:w="1417" w:type="dxa"/>
            <w:shd w:val="clear" w:color="auto" w:fill="auto"/>
            <w:vAlign w:val="center"/>
            <w:hideMark/>
          </w:tcPr>
          <w:p w:rsidR="008A7F98" w:rsidRPr="008A7F98" w:rsidRDefault="008A7F98" w:rsidP="008A7F98">
            <w:pPr>
              <w:rPr>
                <w:rFonts w:asciiTheme="minorEastAsia" w:hAnsiTheme="minorEastAsia"/>
              </w:rPr>
            </w:pPr>
          </w:p>
        </w:tc>
        <w:tc>
          <w:tcPr>
            <w:tcW w:w="2268" w:type="dxa"/>
            <w:shd w:val="clear" w:color="auto" w:fill="auto"/>
            <w:vAlign w:val="center"/>
          </w:tcPr>
          <w:p w:rsidR="008A7F98" w:rsidRPr="008A7F98" w:rsidRDefault="008A7F98" w:rsidP="008A7F98">
            <w:pPr>
              <w:rPr>
                <w:rFonts w:asciiTheme="minorEastAsia" w:hAnsiTheme="minorEastAsia"/>
              </w:rPr>
            </w:pPr>
            <w:r w:rsidRPr="008A7F98">
              <w:rPr>
                <w:rFonts w:asciiTheme="minorEastAsia" w:hAnsiTheme="minorEastAsia"/>
              </w:rPr>
              <w:t>保证人：天津大通投资集团有限公司、天津滨海新天投资有限公司、李占通</w:t>
            </w:r>
            <w:r w:rsidR="00F601C6">
              <w:rPr>
                <w:rFonts w:asciiTheme="minorEastAsia" w:hAnsiTheme="minorEastAsia" w:hint="eastAsia"/>
              </w:rPr>
              <w:t>、</w:t>
            </w:r>
            <w:r w:rsidR="004658B8">
              <w:rPr>
                <w:rFonts w:asciiTheme="minorEastAsia" w:hAnsiTheme="minorEastAsia" w:hint="eastAsia"/>
              </w:rPr>
              <w:t>张丽娟</w:t>
            </w:r>
          </w:p>
        </w:tc>
      </w:tr>
      <w:tr w:rsidR="008A7F98" w:rsidRPr="008A7F98" w:rsidTr="00DF76A2">
        <w:trPr>
          <w:trHeight w:val="450"/>
        </w:trPr>
        <w:tc>
          <w:tcPr>
            <w:tcW w:w="709" w:type="dxa"/>
            <w:shd w:val="clear" w:color="auto" w:fill="auto"/>
            <w:vAlign w:val="center"/>
          </w:tcPr>
          <w:p w:rsidR="008A7F98" w:rsidRPr="008A7F98" w:rsidRDefault="008A7F98" w:rsidP="008A7F98">
            <w:pPr>
              <w:jc w:val="center"/>
              <w:rPr>
                <w:rFonts w:asciiTheme="minorEastAsia" w:hAnsiTheme="minorEastAsia"/>
              </w:rPr>
            </w:pPr>
            <w:r w:rsidRPr="008A7F98">
              <w:rPr>
                <w:rFonts w:asciiTheme="minorEastAsia" w:hAnsiTheme="minorEastAsia"/>
              </w:rPr>
              <w:t>3</w:t>
            </w:r>
          </w:p>
        </w:tc>
        <w:tc>
          <w:tcPr>
            <w:tcW w:w="1276" w:type="dxa"/>
            <w:shd w:val="clear" w:color="auto" w:fill="auto"/>
            <w:vAlign w:val="center"/>
            <w:hideMark/>
          </w:tcPr>
          <w:p w:rsidR="008A7F98" w:rsidRPr="008A7F98" w:rsidRDefault="008A7F98" w:rsidP="008A7F98">
            <w:pPr>
              <w:rPr>
                <w:rFonts w:asciiTheme="minorEastAsia" w:hAnsiTheme="minorEastAsia"/>
              </w:rPr>
            </w:pPr>
            <w:proofErr w:type="gramStart"/>
            <w:r w:rsidRPr="008A7F98">
              <w:rPr>
                <w:rFonts w:asciiTheme="minorEastAsia" w:hAnsiTheme="minorEastAsia"/>
              </w:rPr>
              <w:t>兴宏烁</w:t>
            </w:r>
            <w:proofErr w:type="gramEnd"/>
            <w:r w:rsidRPr="008A7F98">
              <w:rPr>
                <w:rFonts w:asciiTheme="minorEastAsia" w:hAnsiTheme="minorEastAsia"/>
              </w:rPr>
              <w:t>达（天津）科技有限公司债权</w:t>
            </w:r>
          </w:p>
        </w:tc>
        <w:tc>
          <w:tcPr>
            <w:tcW w:w="993" w:type="dxa"/>
            <w:shd w:val="clear" w:color="auto" w:fill="auto"/>
            <w:vAlign w:val="center"/>
            <w:hideMark/>
          </w:tcPr>
          <w:p w:rsidR="008A7F98" w:rsidRPr="008A7F98" w:rsidRDefault="008A7F98" w:rsidP="008A7F98">
            <w:pPr>
              <w:jc w:val="center"/>
              <w:rPr>
                <w:rFonts w:asciiTheme="minorEastAsia" w:hAnsiTheme="minorEastAsia"/>
              </w:rPr>
            </w:pPr>
            <w:r w:rsidRPr="008A7F98">
              <w:rPr>
                <w:rFonts w:asciiTheme="minorEastAsia" w:hAnsiTheme="minorEastAsia"/>
              </w:rPr>
              <w:t>债权</w:t>
            </w:r>
          </w:p>
        </w:tc>
        <w:tc>
          <w:tcPr>
            <w:tcW w:w="850" w:type="dxa"/>
            <w:shd w:val="clear" w:color="auto" w:fill="auto"/>
            <w:vAlign w:val="center"/>
          </w:tcPr>
          <w:p w:rsidR="008A7F98" w:rsidRPr="008A7F98" w:rsidRDefault="008A7F98" w:rsidP="008A7F98">
            <w:pPr>
              <w:jc w:val="center"/>
              <w:rPr>
                <w:rFonts w:asciiTheme="minorEastAsia" w:hAnsiTheme="minorEastAsia"/>
              </w:rPr>
            </w:pPr>
            <w:r w:rsidRPr="008A7F98">
              <w:rPr>
                <w:rFonts w:asciiTheme="minorEastAsia" w:hAnsiTheme="minorEastAsia"/>
              </w:rPr>
              <w:t>天津</w:t>
            </w:r>
          </w:p>
        </w:tc>
        <w:tc>
          <w:tcPr>
            <w:tcW w:w="1985" w:type="dxa"/>
            <w:shd w:val="clear" w:color="auto" w:fill="auto"/>
            <w:noWrap/>
            <w:vAlign w:val="center"/>
            <w:hideMark/>
          </w:tcPr>
          <w:p w:rsidR="008A7F98" w:rsidRPr="008A7F98" w:rsidRDefault="008A7F98" w:rsidP="008A7F98">
            <w:pPr>
              <w:rPr>
                <w:rFonts w:asciiTheme="minorEastAsia" w:hAnsiTheme="minorEastAsia"/>
              </w:rPr>
            </w:pPr>
            <w:r w:rsidRPr="008A7F98">
              <w:rPr>
                <w:rFonts w:asciiTheme="minorEastAsia" w:hAnsiTheme="minorEastAsia"/>
              </w:rPr>
              <w:t>48,481,666.68</w:t>
            </w:r>
          </w:p>
        </w:tc>
        <w:tc>
          <w:tcPr>
            <w:tcW w:w="1701" w:type="dxa"/>
            <w:shd w:val="clear" w:color="auto" w:fill="auto"/>
            <w:vAlign w:val="center"/>
            <w:hideMark/>
          </w:tcPr>
          <w:p w:rsidR="008A7F98" w:rsidRPr="008A7F98" w:rsidRDefault="008A7F98" w:rsidP="008A7F98">
            <w:pPr>
              <w:rPr>
                <w:rFonts w:asciiTheme="minorEastAsia" w:hAnsiTheme="minorEastAsia"/>
              </w:rPr>
            </w:pPr>
            <w:r w:rsidRPr="008A7F98">
              <w:rPr>
                <w:rFonts w:asciiTheme="minorEastAsia" w:hAnsiTheme="minorEastAsia"/>
              </w:rPr>
              <w:t>29,483,785.88</w:t>
            </w:r>
          </w:p>
        </w:tc>
        <w:tc>
          <w:tcPr>
            <w:tcW w:w="1417" w:type="dxa"/>
            <w:shd w:val="clear" w:color="auto" w:fill="auto"/>
            <w:vAlign w:val="center"/>
            <w:hideMark/>
          </w:tcPr>
          <w:p w:rsidR="008A7F98" w:rsidRPr="008A7F98" w:rsidRDefault="008A7F98" w:rsidP="008A7F98">
            <w:pPr>
              <w:rPr>
                <w:rFonts w:asciiTheme="minorEastAsia" w:hAnsiTheme="minorEastAsia"/>
              </w:rPr>
            </w:pPr>
          </w:p>
        </w:tc>
        <w:tc>
          <w:tcPr>
            <w:tcW w:w="2268" w:type="dxa"/>
            <w:shd w:val="clear" w:color="auto" w:fill="auto"/>
            <w:vAlign w:val="center"/>
          </w:tcPr>
          <w:p w:rsidR="008A7F98" w:rsidRPr="008A7F98" w:rsidRDefault="008A7F98" w:rsidP="008A7F98">
            <w:pPr>
              <w:rPr>
                <w:rFonts w:asciiTheme="minorEastAsia" w:hAnsiTheme="minorEastAsia"/>
              </w:rPr>
            </w:pPr>
            <w:r w:rsidRPr="008A7F98">
              <w:rPr>
                <w:rFonts w:asciiTheme="minorEastAsia" w:hAnsiTheme="minorEastAsia"/>
              </w:rPr>
              <w:t>保证人：天津大通投资集团有限公司、天津滨海新天投资有限公司、天津市集睿科技投资有限公司、李占通</w:t>
            </w:r>
            <w:r w:rsidR="00F601C6">
              <w:rPr>
                <w:rFonts w:asciiTheme="minorEastAsia" w:hAnsiTheme="minorEastAsia" w:hint="eastAsia"/>
              </w:rPr>
              <w:t>、</w:t>
            </w:r>
            <w:r w:rsidR="004658B8">
              <w:rPr>
                <w:rFonts w:asciiTheme="minorEastAsia" w:hAnsiTheme="minorEastAsia" w:hint="eastAsia"/>
              </w:rPr>
              <w:t>张</w:t>
            </w:r>
            <w:r w:rsidR="004658B8">
              <w:rPr>
                <w:rFonts w:asciiTheme="minorEastAsia" w:hAnsiTheme="minorEastAsia" w:hint="eastAsia"/>
              </w:rPr>
              <w:lastRenderedPageBreak/>
              <w:t>丽娟</w:t>
            </w:r>
          </w:p>
        </w:tc>
      </w:tr>
      <w:tr w:rsidR="008A7F98" w:rsidRPr="008A7F98" w:rsidTr="00DF76A2">
        <w:trPr>
          <w:trHeight w:val="450"/>
        </w:trPr>
        <w:tc>
          <w:tcPr>
            <w:tcW w:w="709" w:type="dxa"/>
            <w:shd w:val="clear" w:color="auto" w:fill="auto"/>
            <w:vAlign w:val="center"/>
          </w:tcPr>
          <w:p w:rsidR="008A7F98" w:rsidRPr="008A7F98" w:rsidRDefault="008A7F98" w:rsidP="008A7F98">
            <w:pPr>
              <w:jc w:val="center"/>
              <w:rPr>
                <w:rFonts w:asciiTheme="minorEastAsia" w:hAnsiTheme="minorEastAsia"/>
              </w:rPr>
            </w:pPr>
            <w:r w:rsidRPr="008A7F98">
              <w:rPr>
                <w:rFonts w:asciiTheme="minorEastAsia" w:hAnsiTheme="minorEastAsia"/>
              </w:rPr>
              <w:lastRenderedPageBreak/>
              <w:t>4</w:t>
            </w:r>
          </w:p>
        </w:tc>
        <w:tc>
          <w:tcPr>
            <w:tcW w:w="1276" w:type="dxa"/>
            <w:shd w:val="clear" w:color="auto" w:fill="auto"/>
            <w:vAlign w:val="center"/>
            <w:hideMark/>
          </w:tcPr>
          <w:p w:rsidR="008A7F98" w:rsidRPr="008A7F98" w:rsidRDefault="008A7F98" w:rsidP="008A7F98">
            <w:pPr>
              <w:rPr>
                <w:rFonts w:asciiTheme="minorEastAsia" w:hAnsiTheme="minorEastAsia"/>
              </w:rPr>
            </w:pPr>
            <w:r w:rsidRPr="008A7F98">
              <w:rPr>
                <w:rFonts w:asciiTheme="minorEastAsia" w:hAnsiTheme="minorEastAsia"/>
              </w:rPr>
              <w:t>天津晟鑫农业科技发展有限公司债权</w:t>
            </w:r>
          </w:p>
        </w:tc>
        <w:tc>
          <w:tcPr>
            <w:tcW w:w="993" w:type="dxa"/>
            <w:shd w:val="clear" w:color="auto" w:fill="auto"/>
            <w:vAlign w:val="center"/>
            <w:hideMark/>
          </w:tcPr>
          <w:p w:rsidR="008A7F98" w:rsidRPr="008A7F98" w:rsidRDefault="008A7F98" w:rsidP="008A7F98">
            <w:pPr>
              <w:jc w:val="center"/>
              <w:rPr>
                <w:rFonts w:asciiTheme="minorEastAsia" w:hAnsiTheme="minorEastAsia"/>
              </w:rPr>
            </w:pPr>
            <w:r w:rsidRPr="008A7F98">
              <w:rPr>
                <w:rFonts w:asciiTheme="minorEastAsia" w:hAnsiTheme="minorEastAsia"/>
              </w:rPr>
              <w:t>债权</w:t>
            </w:r>
          </w:p>
        </w:tc>
        <w:tc>
          <w:tcPr>
            <w:tcW w:w="850" w:type="dxa"/>
            <w:shd w:val="clear" w:color="auto" w:fill="auto"/>
            <w:vAlign w:val="center"/>
          </w:tcPr>
          <w:p w:rsidR="008A7F98" w:rsidRPr="008A7F98" w:rsidRDefault="008A7F98" w:rsidP="008A7F98">
            <w:pPr>
              <w:jc w:val="center"/>
              <w:rPr>
                <w:rFonts w:asciiTheme="minorEastAsia" w:hAnsiTheme="minorEastAsia"/>
              </w:rPr>
            </w:pPr>
            <w:r w:rsidRPr="008A7F98">
              <w:rPr>
                <w:rFonts w:asciiTheme="minorEastAsia" w:hAnsiTheme="minorEastAsia"/>
              </w:rPr>
              <w:t>天津</w:t>
            </w:r>
          </w:p>
        </w:tc>
        <w:tc>
          <w:tcPr>
            <w:tcW w:w="1985" w:type="dxa"/>
            <w:shd w:val="clear" w:color="auto" w:fill="auto"/>
            <w:noWrap/>
            <w:vAlign w:val="center"/>
            <w:hideMark/>
          </w:tcPr>
          <w:p w:rsidR="008A7F98" w:rsidRPr="008A7F98" w:rsidRDefault="008A7F98" w:rsidP="008A7F98">
            <w:pPr>
              <w:rPr>
                <w:rFonts w:asciiTheme="minorEastAsia" w:hAnsiTheme="minorEastAsia"/>
              </w:rPr>
            </w:pPr>
            <w:r w:rsidRPr="008A7F98">
              <w:rPr>
                <w:rFonts w:asciiTheme="minorEastAsia" w:hAnsiTheme="minorEastAsia"/>
              </w:rPr>
              <w:t>48,481,666.68</w:t>
            </w:r>
          </w:p>
        </w:tc>
        <w:tc>
          <w:tcPr>
            <w:tcW w:w="1701" w:type="dxa"/>
            <w:shd w:val="clear" w:color="auto" w:fill="auto"/>
            <w:vAlign w:val="center"/>
            <w:hideMark/>
          </w:tcPr>
          <w:p w:rsidR="008A7F98" w:rsidRPr="008A7F98" w:rsidRDefault="008A7F98" w:rsidP="008A7F98">
            <w:pPr>
              <w:rPr>
                <w:rFonts w:asciiTheme="minorEastAsia" w:hAnsiTheme="minorEastAsia"/>
              </w:rPr>
            </w:pPr>
            <w:r w:rsidRPr="008A7F98">
              <w:rPr>
                <w:rFonts w:asciiTheme="minorEastAsia" w:hAnsiTheme="minorEastAsia"/>
              </w:rPr>
              <w:t>29,483,785.88</w:t>
            </w:r>
          </w:p>
        </w:tc>
        <w:tc>
          <w:tcPr>
            <w:tcW w:w="1417" w:type="dxa"/>
            <w:shd w:val="clear" w:color="auto" w:fill="auto"/>
            <w:vAlign w:val="center"/>
            <w:hideMark/>
          </w:tcPr>
          <w:p w:rsidR="008A7F98" w:rsidRPr="008A7F98" w:rsidRDefault="008A7F98" w:rsidP="008A7F98">
            <w:pPr>
              <w:rPr>
                <w:rFonts w:asciiTheme="minorEastAsia" w:hAnsiTheme="minorEastAsia"/>
              </w:rPr>
            </w:pPr>
          </w:p>
        </w:tc>
        <w:tc>
          <w:tcPr>
            <w:tcW w:w="2268" w:type="dxa"/>
            <w:shd w:val="clear" w:color="auto" w:fill="auto"/>
            <w:vAlign w:val="center"/>
          </w:tcPr>
          <w:p w:rsidR="008A7F98" w:rsidRPr="008A7F98" w:rsidRDefault="008A7F98" w:rsidP="008A7F98">
            <w:pPr>
              <w:rPr>
                <w:rFonts w:asciiTheme="minorEastAsia" w:hAnsiTheme="minorEastAsia"/>
              </w:rPr>
            </w:pPr>
            <w:r w:rsidRPr="008A7F98">
              <w:rPr>
                <w:rFonts w:asciiTheme="minorEastAsia" w:hAnsiTheme="minorEastAsia"/>
              </w:rPr>
              <w:t>保证人：天津大通投资集团有限公司、天津滨海新天投资有限公司、天津市集睿科技投资有限公司、李占通</w:t>
            </w:r>
            <w:r w:rsidR="00F601C6">
              <w:rPr>
                <w:rFonts w:asciiTheme="minorEastAsia" w:hAnsiTheme="minorEastAsia" w:hint="eastAsia"/>
              </w:rPr>
              <w:t>、</w:t>
            </w:r>
            <w:r w:rsidR="004658B8">
              <w:rPr>
                <w:rFonts w:asciiTheme="minorEastAsia" w:hAnsiTheme="minorEastAsia" w:hint="eastAsia"/>
              </w:rPr>
              <w:t>张丽娟</w:t>
            </w:r>
          </w:p>
        </w:tc>
      </w:tr>
      <w:tr w:rsidR="008A7F98" w:rsidRPr="008A7F98" w:rsidTr="00DF76A2">
        <w:trPr>
          <w:trHeight w:val="648"/>
        </w:trPr>
        <w:tc>
          <w:tcPr>
            <w:tcW w:w="709" w:type="dxa"/>
            <w:vMerge w:val="restart"/>
            <w:shd w:val="clear" w:color="auto" w:fill="auto"/>
            <w:vAlign w:val="center"/>
          </w:tcPr>
          <w:p w:rsidR="008A7F98" w:rsidRPr="008A7F98" w:rsidRDefault="008A7F98" w:rsidP="008A7F98">
            <w:pPr>
              <w:jc w:val="center"/>
              <w:rPr>
                <w:rFonts w:asciiTheme="minorEastAsia" w:hAnsiTheme="minorEastAsia"/>
              </w:rPr>
            </w:pPr>
            <w:r w:rsidRPr="008A7F98">
              <w:rPr>
                <w:rFonts w:asciiTheme="minorEastAsia" w:hAnsiTheme="minorEastAsia"/>
              </w:rPr>
              <w:t>5</w:t>
            </w:r>
          </w:p>
        </w:tc>
        <w:tc>
          <w:tcPr>
            <w:tcW w:w="1276" w:type="dxa"/>
            <w:vMerge w:val="restart"/>
            <w:shd w:val="clear" w:color="auto" w:fill="auto"/>
            <w:vAlign w:val="center"/>
            <w:hideMark/>
          </w:tcPr>
          <w:p w:rsidR="008A7F98" w:rsidRPr="008A7F98" w:rsidRDefault="008A7F98" w:rsidP="008A7F98">
            <w:pPr>
              <w:rPr>
                <w:rFonts w:asciiTheme="minorEastAsia" w:hAnsiTheme="minorEastAsia"/>
              </w:rPr>
            </w:pPr>
            <w:r w:rsidRPr="008A7F98">
              <w:rPr>
                <w:rFonts w:asciiTheme="minorEastAsia" w:hAnsiTheme="minorEastAsia"/>
              </w:rPr>
              <w:t>天津开发区四达石化产品经销有限公司债权</w:t>
            </w:r>
          </w:p>
        </w:tc>
        <w:tc>
          <w:tcPr>
            <w:tcW w:w="993" w:type="dxa"/>
            <w:vMerge w:val="restart"/>
            <w:shd w:val="clear" w:color="auto" w:fill="auto"/>
            <w:vAlign w:val="center"/>
            <w:hideMark/>
          </w:tcPr>
          <w:p w:rsidR="008A7F98" w:rsidRPr="008A7F98" w:rsidRDefault="008A7F98" w:rsidP="008A7F98">
            <w:pPr>
              <w:jc w:val="center"/>
              <w:rPr>
                <w:rFonts w:asciiTheme="minorEastAsia" w:hAnsiTheme="minorEastAsia"/>
              </w:rPr>
            </w:pPr>
            <w:r w:rsidRPr="008A7F98">
              <w:rPr>
                <w:rFonts w:asciiTheme="minorEastAsia" w:hAnsiTheme="minorEastAsia"/>
              </w:rPr>
              <w:t>债权</w:t>
            </w:r>
          </w:p>
        </w:tc>
        <w:tc>
          <w:tcPr>
            <w:tcW w:w="850" w:type="dxa"/>
            <w:shd w:val="clear" w:color="auto" w:fill="auto"/>
            <w:vAlign w:val="center"/>
          </w:tcPr>
          <w:p w:rsidR="008A7F98" w:rsidRPr="008A7F98" w:rsidRDefault="008A7F98" w:rsidP="008A7F98">
            <w:pPr>
              <w:jc w:val="center"/>
              <w:rPr>
                <w:rFonts w:asciiTheme="minorEastAsia" w:hAnsiTheme="minorEastAsia"/>
              </w:rPr>
            </w:pPr>
            <w:r w:rsidRPr="008A7F98">
              <w:rPr>
                <w:rFonts w:asciiTheme="minorEastAsia" w:hAnsiTheme="minorEastAsia"/>
              </w:rPr>
              <w:t>天津</w:t>
            </w:r>
          </w:p>
        </w:tc>
        <w:tc>
          <w:tcPr>
            <w:tcW w:w="1985" w:type="dxa"/>
            <w:shd w:val="clear" w:color="auto" w:fill="auto"/>
            <w:noWrap/>
            <w:vAlign w:val="center"/>
            <w:hideMark/>
          </w:tcPr>
          <w:p w:rsidR="008A7F98" w:rsidRPr="008A7F98" w:rsidRDefault="008A7F98" w:rsidP="008A7F98">
            <w:pPr>
              <w:rPr>
                <w:rFonts w:asciiTheme="minorEastAsia" w:hAnsiTheme="minorEastAsia"/>
              </w:rPr>
            </w:pPr>
            <w:r w:rsidRPr="008A7F98">
              <w:rPr>
                <w:rFonts w:asciiTheme="minorEastAsia" w:hAnsiTheme="minorEastAsia"/>
              </w:rPr>
              <w:t>173,971,216.60</w:t>
            </w:r>
          </w:p>
        </w:tc>
        <w:tc>
          <w:tcPr>
            <w:tcW w:w="1701" w:type="dxa"/>
            <w:shd w:val="clear" w:color="auto" w:fill="auto"/>
            <w:vAlign w:val="center"/>
            <w:hideMark/>
          </w:tcPr>
          <w:p w:rsidR="008A7F98" w:rsidRPr="008A7F98" w:rsidRDefault="008A7F98" w:rsidP="008A7F98">
            <w:pPr>
              <w:rPr>
                <w:rFonts w:asciiTheme="minorEastAsia" w:hAnsiTheme="minorEastAsia"/>
              </w:rPr>
            </w:pPr>
            <w:r w:rsidRPr="008A7F98">
              <w:rPr>
                <w:rFonts w:asciiTheme="minorEastAsia" w:hAnsiTheme="minorEastAsia"/>
              </w:rPr>
              <w:t>130,232,260.03</w:t>
            </w:r>
          </w:p>
        </w:tc>
        <w:tc>
          <w:tcPr>
            <w:tcW w:w="1417" w:type="dxa"/>
            <w:vMerge w:val="restart"/>
            <w:shd w:val="clear" w:color="auto" w:fill="auto"/>
            <w:vAlign w:val="center"/>
            <w:hideMark/>
          </w:tcPr>
          <w:p w:rsidR="008A7F98" w:rsidRPr="008A7F98" w:rsidRDefault="00F601C6" w:rsidP="008A7F98">
            <w:pPr>
              <w:rPr>
                <w:rFonts w:asciiTheme="minorEastAsia" w:hAnsiTheme="minorEastAsia"/>
              </w:rPr>
            </w:pPr>
            <w:r>
              <w:rPr>
                <w:rFonts w:asciiTheme="minorEastAsia" w:hAnsiTheme="minorEastAsia"/>
              </w:rPr>
              <w:t>1,833,383</w:t>
            </w:r>
          </w:p>
        </w:tc>
        <w:tc>
          <w:tcPr>
            <w:tcW w:w="2268" w:type="dxa"/>
            <w:vMerge w:val="restart"/>
            <w:shd w:val="clear" w:color="auto" w:fill="auto"/>
            <w:vAlign w:val="center"/>
          </w:tcPr>
          <w:p w:rsidR="008A7F98" w:rsidRPr="008A7F98" w:rsidRDefault="008A7F98" w:rsidP="008A7F98">
            <w:pPr>
              <w:rPr>
                <w:rFonts w:asciiTheme="minorEastAsia" w:hAnsiTheme="minorEastAsia"/>
              </w:rPr>
            </w:pPr>
            <w:r w:rsidRPr="008A7F98">
              <w:rPr>
                <w:rFonts w:asciiTheme="minorEastAsia" w:hAnsiTheme="minorEastAsia"/>
              </w:rPr>
              <w:t>保证人：天津</w:t>
            </w:r>
            <w:proofErr w:type="gramStart"/>
            <w:r w:rsidRPr="008A7F98">
              <w:rPr>
                <w:rFonts w:asciiTheme="minorEastAsia" w:hAnsiTheme="minorEastAsia"/>
              </w:rPr>
              <w:t>鑫凯</w:t>
            </w:r>
            <w:proofErr w:type="gramEnd"/>
            <w:r w:rsidRPr="008A7F98">
              <w:rPr>
                <w:rFonts w:asciiTheme="minorEastAsia" w:hAnsiTheme="minorEastAsia"/>
              </w:rPr>
              <w:t>龙国际贸易有限公司、王贵文、刘美玲</w:t>
            </w:r>
          </w:p>
        </w:tc>
      </w:tr>
      <w:tr w:rsidR="008A7F98" w:rsidRPr="008A7F98" w:rsidTr="00DF76A2">
        <w:trPr>
          <w:trHeight w:val="285"/>
        </w:trPr>
        <w:tc>
          <w:tcPr>
            <w:tcW w:w="709" w:type="dxa"/>
            <w:vMerge/>
            <w:shd w:val="clear" w:color="auto" w:fill="auto"/>
            <w:vAlign w:val="center"/>
          </w:tcPr>
          <w:p w:rsidR="008A7F98" w:rsidRPr="008A7F98" w:rsidRDefault="008A7F98" w:rsidP="008A7F98">
            <w:pPr>
              <w:jc w:val="center"/>
              <w:rPr>
                <w:rFonts w:asciiTheme="minorEastAsia" w:hAnsiTheme="minorEastAsia"/>
              </w:rPr>
            </w:pPr>
          </w:p>
        </w:tc>
        <w:tc>
          <w:tcPr>
            <w:tcW w:w="1276" w:type="dxa"/>
            <w:vMerge/>
            <w:shd w:val="clear" w:color="auto" w:fill="auto"/>
            <w:vAlign w:val="center"/>
          </w:tcPr>
          <w:p w:rsidR="008A7F98" w:rsidRPr="008A7F98" w:rsidRDefault="008A7F98" w:rsidP="008A7F98">
            <w:pPr>
              <w:rPr>
                <w:rFonts w:asciiTheme="minorEastAsia" w:hAnsiTheme="minorEastAsia"/>
              </w:rPr>
            </w:pPr>
          </w:p>
        </w:tc>
        <w:tc>
          <w:tcPr>
            <w:tcW w:w="993" w:type="dxa"/>
            <w:vMerge/>
            <w:shd w:val="clear" w:color="auto" w:fill="auto"/>
            <w:vAlign w:val="center"/>
          </w:tcPr>
          <w:p w:rsidR="008A7F98" w:rsidRPr="008A7F98" w:rsidRDefault="008A7F98" w:rsidP="008A7F98">
            <w:pPr>
              <w:jc w:val="center"/>
              <w:rPr>
                <w:rFonts w:asciiTheme="minorEastAsia" w:hAnsiTheme="minorEastAsia"/>
              </w:rPr>
            </w:pPr>
          </w:p>
        </w:tc>
        <w:tc>
          <w:tcPr>
            <w:tcW w:w="850" w:type="dxa"/>
            <w:shd w:val="clear" w:color="auto" w:fill="auto"/>
            <w:vAlign w:val="center"/>
          </w:tcPr>
          <w:p w:rsidR="008A7F98" w:rsidRPr="008A7F98" w:rsidRDefault="008A7F98" w:rsidP="008A7F98">
            <w:pPr>
              <w:jc w:val="center"/>
              <w:rPr>
                <w:rFonts w:asciiTheme="minorEastAsia" w:hAnsiTheme="minorEastAsia"/>
              </w:rPr>
            </w:pPr>
            <w:r w:rsidRPr="008A7F98">
              <w:rPr>
                <w:rFonts w:asciiTheme="minorEastAsia" w:hAnsiTheme="minorEastAsia"/>
              </w:rPr>
              <w:t>天津</w:t>
            </w:r>
          </w:p>
        </w:tc>
        <w:tc>
          <w:tcPr>
            <w:tcW w:w="1985" w:type="dxa"/>
            <w:shd w:val="clear" w:color="auto" w:fill="auto"/>
            <w:noWrap/>
            <w:vAlign w:val="center"/>
          </w:tcPr>
          <w:p w:rsidR="008A7F98" w:rsidRPr="008A7F98" w:rsidRDefault="008A7F98" w:rsidP="008A7F98">
            <w:pPr>
              <w:rPr>
                <w:rFonts w:asciiTheme="minorEastAsia" w:hAnsiTheme="minorEastAsia"/>
              </w:rPr>
            </w:pPr>
            <w:r w:rsidRPr="008A7F98">
              <w:rPr>
                <w:rFonts w:asciiTheme="minorEastAsia" w:hAnsiTheme="minorEastAsia"/>
              </w:rPr>
              <w:t>107,949,330.85</w:t>
            </w:r>
          </w:p>
        </w:tc>
        <w:tc>
          <w:tcPr>
            <w:tcW w:w="1701" w:type="dxa"/>
            <w:shd w:val="clear" w:color="auto" w:fill="auto"/>
            <w:vAlign w:val="center"/>
          </w:tcPr>
          <w:p w:rsidR="008A7F98" w:rsidRPr="008A7F98" w:rsidRDefault="003D136E" w:rsidP="008A7F98">
            <w:pPr>
              <w:rPr>
                <w:rFonts w:asciiTheme="minorEastAsia" w:hAnsiTheme="minorEastAsia"/>
              </w:rPr>
            </w:pPr>
            <w:r w:rsidRPr="003D136E">
              <w:rPr>
                <w:rFonts w:asciiTheme="minorEastAsia" w:hAnsiTheme="minorEastAsia"/>
              </w:rPr>
              <w:t>26,152,862.10</w:t>
            </w:r>
          </w:p>
        </w:tc>
        <w:tc>
          <w:tcPr>
            <w:tcW w:w="1417" w:type="dxa"/>
            <w:vMerge/>
            <w:shd w:val="clear" w:color="auto" w:fill="auto"/>
            <w:vAlign w:val="center"/>
          </w:tcPr>
          <w:p w:rsidR="008A7F98" w:rsidRPr="008A7F98" w:rsidRDefault="008A7F98" w:rsidP="008A7F98">
            <w:pPr>
              <w:rPr>
                <w:rFonts w:asciiTheme="minorEastAsia" w:hAnsiTheme="minorEastAsia"/>
              </w:rPr>
            </w:pPr>
          </w:p>
        </w:tc>
        <w:tc>
          <w:tcPr>
            <w:tcW w:w="2268" w:type="dxa"/>
            <w:vMerge/>
            <w:shd w:val="clear" w:color="auto" w:fill="auto"/>
            <w:vAlign w:val="center"/>
          </w:tcPr>
          <w:p w:rsidR="008A7F98" w:rsidRPr="008A7F98" w:rsidRDefault="008A7F98" w:rsidP="008A7F98">
            <w:pPr>
              <w:rPr>
                <w:rFonts w:asciiTheme="minorEastAsia" w:hAnsiTheme="minorEastAsia"/>
              </w:rPr>
            </w:pPr>
          </w:p>
        </w:tc>
      </w:tr>
      <w:tr w:rsidR="008A7F98" w:rsidRPr="008A7F98" w:rsidTr="00DF76A2">
        <w:trPr>
          <w:trHeight w:val="450"/>
        </w:trPr>
        <w:tc>
          <w:tcPr>
            <w:tcW w:w="709" w:type="dxa"/>
            <w:shd w:val="clear" w:color="auto" w:fill="auto"/>
            <w:vAlign w:val="center"/>
          </w:tcPr>
          <w:p w:rsidR="008A7F98" w:rsidRPr="008A7F98" w:rsidRDefault="008A7F98" w:rsidP="008A7F98">
            <w:pPr>
              <w:jc w:val="center"/>
              <w:rPr>
                <w:rFonts w:asciiTheme="minorEastAsia" w:hAnsiTheme="minorEastAsia"/>
              </w:rPr>
            </w:pPr>
            <w:r w:rsidRPr="008A7F98">
              <w:rPr>
                <w:rFonts w:asciiTheme="minorEastAsia" w:hAnsiTheme="minorEastAsia"/>
              </w:rPr>
              <w:t>6</w:t>
            </w:r>
          </w:p>
        </w:tc>
        <w:tc>
          <w:tcPr>
            <w:tcW w:w="1276" w:type="dxa"/>
            <w:shd w:val="clear" w:color="auto" w:fill="auto"/>
            <w:vAlign w:val="center"/>
            <w:hideMark/>
          </w:tcPr>
          <w:p w:rsidR="008A7F98" w:rsidRPr="008A7F98" w:rsidRDefault="008A7F98" w:rsidP="008A7F98">
            <w:pPr>
              <w:rPr>
                <w:rFonts w:asciiTheme="minorEastAsia" w:hAnsiTheme="minorEastAsia"/>
              </w:rPr>
            </w:pPr>
            <w:r w:rsidRPr="008A7F98">
              <w:rPr>
                <w:rFonts w:asciiTheme="minorEastAsia" w:hAnsiTheme="minorEastAsia"/>
              </w:rPr>
              <w:t>天津塑力集团超高压电缆有限公司债权</w:t>
            </w:r>
          </w:p>
        </w:tc>
        <w:tc>
          <w:tcPr>
            <w:tcW w:w="993" w:type="dxa"/>
            <w:shd w:val="clear" w:color="auto" w:fill="auto"/>
            <w:vAlign w:val="center"/>
            <w:hideMark/>
          </w:tcPr>
          <w:p w:rsidR="008A7F98" w:rsidRPr="008A7F98" w:rsidRDefault="008A7F98" w:rsidP="008A7F98">
            <w:pPr>
              <w:jc w:val="center"/>
              <w:rPr>
                <w:rFonts w:asciiTheme="minorEastAsia" w:hAnsiTheme="minorEastAsia"/>
              </w:rPr>
            </w:pPr>
            <w:r w:rsidRPr="008A7F98">
              <w:rPr>
                <w:rFonts w:asciiTheme="minorEastAsia" w:hAnsiTheme="minorEastAsia"/>
              </w:rPr>
              <w:t>债权</w:t>
            </w:r>
          </w:p>
        </w:tc>
        <w:tc>
          <w:tcPr>
            <w:tcW w:w="850" w:type="dxa"/>
            <w:shd w:val="clear" w:color="auto" w:fill="auto"/>
            <w:vAlign w:val="center"/>
          </w:tcPr>
          <w:p w:rsidR="008A7F98" w:rsidRPr="008A7F98" w:rsidRDefault="008A7F98" w:rsidP="008A7F98">
            <w:pPr>
              <w:jc w:val="center"/>
              <w:rPr>
                <w:rFonts w:asciiTheme="minorEastAsia" w:hAnsiTheme="minorEastAsia"/>
              </w:rPr>
            </w:pPr>
            <w:r w:rsidRPr="008A7F98">
              <w:rPr>
                <w:rFonts w:asciiTheme="minorEastAsia" w:hAnsiTheme="minorEastAsia"/>
              </w:rPr>
              <w:t>天津</w:t>
            </w:r>
          </w:p>
        </w:tc>
        <w:tc>
          <w:tcPr>
            <w:tcW w:w="1985" w:type="dxa"/>
            <w:shd w:val="clear" w:color="auto" w:fill="auto"/>
            <w:noWrap/>
            <w:vAlign w:val="center"/>
            <w:hideMark/>
          </w:tcPr>
          <w:p w:rsidR="008A7F98" w:rsidRPr="008A7F98" w:rsidRDefault="008A7F98" w:rsidP="008A7F98">
            <w:pPr>
              <w:rPr>
                <w:rFonts w:asciiTheme="minorEastAsia" w:hAnsiTheme="minorEastAsia"/>
              </w:rPr>
            </w:pPr>
            <w:r w:rsidRPr="008A7F98">
              <w:rPr>
                <w:rFonts w:asciiTheme="minorEastAsia" w:hAnsiTheme="minorEastAsia"/>
              </w:rPr>
              <w:t>170,000,000.00</w:t>
            </w:r>
          </w:p>
        </w:tc>
        <w:tc>
          <w:tcPr>
            <w:tcW w:w="1701" w:type="dxa"/>
            <w:shd w:val="clear" w:color="auto" w:fill="auto"/>
            <w:vAlign w:val="center"/>
            <w:hideMark/>
          </w:tcPr>
          <w:p w:rsidR="008A7F98" w:rsidRPr="008A7F98" w:rsidRDefault="008A7F98" w:rsidP="008A7F98">
            <w:pPr>
              <w:rPr>
                <w:rFonts w:asciiTheme="minorEastAsia" w:hAnsiTheme="minorEastAsia"/>
              </w:rPr>
            </w:pPr>
            <w:r w:rsidRPr="008A7F98">
              <w:rPr>
                <w:rFonts w:asciiTheme="minorEastAsia" w:hAnsiTheme="minorEastAsia"/>
              </w:rPr>
              <w:t>85,003,728.76</w:t>
            </w:r>
          </w:p>
        </w:tc>
        <w:tc>
          <w:tcPr>
            <w:tcW w:w="1417" w:type="dxa"/>
            <w:shd w:val="clear" w:color="auto" w:fill="auto"/>
            <w:vAlign w:val="center"/>
            <w:hideMark/>
          </w:tcPr>
          <w:p w:rsidR="008A7F98" w:rsidRPr="008A7F98" w:rsidRDefault="008A7F98" w:rsidP="008A7F98">
            <w:pPr>
              <w:rPr>
                <w:rFonts w:asciiTheme="minorEastAsia" w:hAnsiTheme="minorEastAsia"/>
              </w:rPr>
            </w:pPr>
          </w:p>
        </w:tc>
        <w:tc>
          <w:tcPr>
            <w:tcW w:w="2268" w:type="dxa"/>
            <w:shd w:val="clear" w:color="auto" w:fill="auto"/>
            <w:vAlign w:val="center"/>
          </w:tcPr>
          <w:p w:rsidR="008A7F98" w:rsidRPr="008A7F98" w:rsidRDefault="008A7F98" w:rsidP="008A7F98">
            <w:pPr>
              <w:rPr>
                <w:rFonts w:asciiTheme="minorEastAsia" w:hAnsiTheme="minorEastAsia"/>
              </w:rPr>
            </w:pPr>
            <w:r w:rsidRPr="008A7F98">
              <w:rPr>
                <w:rFonts w:asciiTheme="minorEastAsia" w:hAnsiTheme="minorEastAsia"/>
              </w:rPr>
              <w:t>保证人：天津塑力线缆集团有限公司、赵军屹、韩怡秋、许鸿月、牛金玲</w:t>
            </w:r>
          </w:p>
        </w:tc>
      </w:tr>
      <w:tr w:rsidR="008A7F98" w:rsidRPr="008A7F98" w:rsidTr="00DF76A2">
        <w:trPr>
          <w:trHeight w:val="450"/>
        </w:trPr>
        <w:tc>
          <w:tcPr>
            <w:tcW w:w="709" w:type="dxa"/>
            <w:shd w:val="clear" w:color="auto" w:fill="auto"/>
            <w:vAlign w:val="center"/>
          </w:tcPr>
          <w:p w:rsidR="008A7F98" w:rsidRPr="008A7F98" w:rsidRDefault="008A7F98" w:rsidP="008A7F98">
            <w:pPr>
              <w:jc w:val="center"/>
              <w:rPr>
                <w:rFonts w:asciiTheme="minorEastAsia" w:hAnsiTheme="minorEastAsia"/>
              </w:rPr>
            </w:pPr>
          </w:p>
        </w:tc>
        <w:tc>
          <w:tcPr>
            <w:tcW w:w="1276" w:type="dxa"/>
            <w:shd w:val="clear" w:color="auto" w:fill="auto"/>
            <w:vAlign w:val="center"/>
          </w:tcPr>
          <w:p w:rsidR="008A7F98" w:rsidRPr="008A7F98" w:rsidRDefault="008A7F98" w:rsidP="008A7F98">
            <w:pPr>
              <w:jc w:val="center"/>
              <w:rPr>
                <w:rFonts w:asciiTheme="minorEastAsia" w:hAnsiTheme="minorEastAsia"/>
              </w:rPr>
            </w:pPr>
            <w:r w:rsidRPr="008A7F98">
              <w:rPr>
                <w:rFonts w:asciiTheme="minorEastAsia" w:hAnsiTheme="minorEastAsia"/>
              </w:rPr>
              <w:t>合计</w:t>
            </w:r>
          </w:p>
        </w:tc>
        <w:tc>
          <w:tcPr>
            <w:tcW w:w="993" w:type="dxa"/>
            <w:shd w:val="clear" w:color="auto" w:fill="auto"/>
            <w:vAlign w:val="center"/>
          </w:tcPr>
          <w:p w:rsidR="008A7F98" w:rsidRPr="008A7F98" w:rsidRDefault="008A7F98" w:rsidP="008A7F98">
            <w:pPr>
              <w:jc w:val="center"/>
              <w:rPr>
                <w:rFonts w:asciiTheme="minorEastAsia" w:hAnsiTheme="minorEastAsia"/>
              </w:rPr>
            </w:pPr>
          </w:p>
        </w:tc>
        <w:tc>
          <w:tcPr>
            <w:tcW w:w="850" w:type="dxa"/>
            <w:shd w:val="clear" w:color="auto" w:fill="auto"/>
            <w:vAlign w:val="center"/>
          </w:tcPr>
          <w:p w:rsidR="008A7F98" w:rsidRPr="008A7F98" w:rsidRDefault="008A7F98" w:rsidP="008A7F98">
            <w:pPr>
              <w:jc w:val="center"/>
              <w:rPr>
                <w:rFonts w:asciiTheme="minorEastAsia" w:hAnsiTheme="minorEastAsia"/>
              </w:rPr>
            </w:pPr>
          </w:p>
        </w:tc>
        <w:tc>
          <w:tcPr>
            <w:tcW w:w="1985" w:type="dxa"/>
            <w:shd w:val="clear" w:color="auto" w:fill="auto"/>
            <w:noWrap/>
            <w:vAlign w:val="center"/>
          </w:tcPr>
          <w:p w:rsidR="008A7F98" w:rsidRPr="008A7F98" w:rsidRDefault="008A7F98" w:rsidP="008A7F98">
            <w:pPr>
              <w:jc w:val="left"/>
              <w:rPr>
                <w:rFonts w:asciiTheme="minorEastAsia" w:hAnsiTheme="minorEastAsia"/>
              </w:rPr>
            </w:pPr>
            <w:r w:rsidRPr="008A7F98">
              <w:rPr>
                <w:rFonts w:asciiTheme="minorEastAsia" w:hAnsiTheme="minorEastAsia"/>
              </w:rPr>
              <w:t>1,122,888,043.08</w:t>
            </w:r>
          </w:p>
        </w:tc>
        <w:tc>
          <w:tcPr>
            <w:tcW w:w="1701" w:type="dxa"/>
            <w:shd w:val="clear" w:color="auto" w:fill="auto"/>
            <w:vAlign w:val="center"/>
          </w:tcPr>
          <w:p w:rsidR="008A7F98" w:rsidRPr="008A7F98" w:rsidRDefault="003D136E" w:rsidP="008A7F98">
            <w:pPr>
              <w:jc w:val="left"/>
              <w:rPr>
                <w:rFonts w:asciiTheme="minorEastAsia" w:hAnsiTheme="minorEastAsia"/>
              </w:rPr>
            </w:pPr>
            <w:r w:rsidRPr="003D136E">
              <w:rPr>
                <w:rFonts w:asciiTheme="minorEastAsia" w:hAnsiTheme="minorEastAsia"/>
              </w:rPr>
              <w:t>442,129,055.64</w:t>
            </w:r>
          </w:p>
        </w:tc>
        <w:tc>
          <w:tcPr>
            <w:tcW w:w="1417" w:type="dxa"/>
            <w:shd w:val="clear" w:color="auto" w:fill="auto"/>
            <w:vAlign w:val="center"/>
          </w:tcPr>
          <w:p w:rsidR="008A7F98" w:rsidRPr="008A7F98" w:rsidRDefault="00F601C6" w:rsidP="008A7F98">
            <w:pPr>
              <w:jc w:val="left"/>
              <w:rPr>
                <w:rFonts w:asciiTheme="minorEastAsia" w:hAnsiTheme="minorEastAsia"/>
              </w:rPr>
            </w:pPr>
            <w:r>
              <w:rPr>
                <w:rFonts w:asciiTheme="minorEastAsia" w:hAnsiTheme="minorEastAsia"/>
              </w:rPr>
              <w:t>1,833,383</w:t>
            </w:r>
          </w:p>
        </w:tc>
        <w:tc>
          <w:tcPr>
            <w:tcW w:w="2268" w:type="dxa"/>
            <w:shd w:val="clear" w:color="auto" w:fill="auto"/>
            <w:vAlign w:val="center"/>
          </w:tcPr>
          <w:p w:rsidR="008A7F98" w:rsidRPr="008A7F98" w:rsidRDefault="008A7F98" w:rsidP="008A7F98">
            <w:pPr>
              <w:jc w:val="left"/>
              <w:rPr>
                <w:rFonts w:asciiTheme="minorEastAsia" w:hAnsiTheme="minorEastAsia"/>
              </w:rPr>
            </w:pPr>
          </w:p>
        </w:tc>
      </w:tr>
    </w:tbl>
    <w:p w:rsidR="00B40E70" w:rsidRPr="00B40E70" w:rsidRDefault="00B40E70" w:rsidP="000F20D7">
      <w:pPr>
        <w:spacing w:line="360" w:lineRule="auto"/>
        <w:ind w:firstLineChars="200" w:firstLine="480"/>
        <w:rPr>
          <w:rFonts w:asciiTheme="minorEastAsia" w:hAnsiTheme="minorEastAsia"/>
          <w:sz w:val="24"/>
        </w:rPr>
      </w:pPr>
      <w:r w:rsidRPr="00B40E70">
        <w:rPr>
          <w:rFonts w:asciiTheme="minorEastAsia" w:hAnsiTheme="minorEastAsia" w:hint="eastAsia"/>
          <w:sz w:val="24"/>
        </w:rPr>
        <w:t>特别提示：以上资产信息仅供参考，我分公司不对其承担任何法律责任。我分公司可能根据有关规定和要求对资产包内的项目和处置方案作适当调整。如有调整，调整结果将按照有关规定履行告知义务。</w:t>
      </w:r>
    </w:p>
    <w:p w:rsidR="00B40E70" w:rsidRPr="00B40E70" w:rsidRDefault="00B40E70" w:rsidP="00B40E70">
      <w:pPr>
        <w:spacing w:line="360" w:lineRule="auto"/>
        <w:ind w:firstLineChars="200" w:firstLine="480"/>
        <w:rPr>
          <w:rFonts w:asciiTheme="minorEastAsia" w:hAnsiTheme="minorEastAsia"/>
          <w:sz w:val="24"/>
        </w:rPr>
      </w:pPr>
      <w:r w:rsidRPr="00B40E70">
        <w:rPr>
          <w:rFonts w:asciiTheme="minorEastAsia" w:hAnsiTheme="minorEastAsia" w:hint="eastAsia"/>
          <w:sz w:val="24"/>
        </w:rPr>
        <w:t>如需了解有关本次交易资产包内每项资产的详细情况</w:t>
      </w:r>
      <w:r w:rsidR="00DF76A2">
        <w:rPr>
          <w:rFonts w:asciiTheme="minorEastAsia" w:hAnsiTheme="minorEastAsia" w:hint="eastAsia"/>
          <w:sz w:val="24"/>
        </w:rPr>
        <w:t>，</w:t>
      </w:r>
      <w:r w:rsidRPr="00B40E70">
        <w:rPr>
          <w:rFonts w:asciiTheme="minorEastAsia" w:hAnsiTheme="minorEastAsia" w:hint="eastAsia"/>
          <w:sz w:val="24"/>
        </w:rPr>
        <w:t>请登录中国东方资产管理股份有限公司对外网站</w:t>
      </w:r>
      <w:hyperlink r:id="rId7" w:history="1">
        <w:r w:rsidRPr="00B40E70">
          <w:rPr>
            <w:rStyle w:val="a6"/>
            <w:rFonts w:asciiTheme="minorEastAsia" w:hAnsiTheme="minorEastAsia" w:hint="eastAsia"/>
            <w:sz w:val="24"/>
          </w:rPr>
          <w:t>www.coamc.com.cn</w:t>
        </w:r>
      </w:hyperlink>
      <w:r w:rsidRPr="00B40E70">
        <w:rPr>
          <w:rFonts w:asciiTheme="minorEastAsia" w:hAnsiTheme="minorEastAsia" w:hint="eastAsia"/>
          <w:sz w:val="24"/>
        </w:rPr>
        <w:t xml:space="preserve"> 查询,或与交易联系人接洽。</w:t>
      </w:r>
    </w:p>
    <w:p w:rsidR="00B40E70" w:rsidRPr="00B40E70" w:rsidRDefault="00B40E70" w:rsidP="00B40E70">
      <w:pPr>
        <w:spacing w:line="360" w:lineRule="auto"/>
        <w:ind w:firstLineChars="200" w:firstLine="480"/>
        <w:rPr>
          <w:rFonts w:asciiTheme="minorEastAsia" w:hAnsiTheme="minorEastAsia"/>
          <w:sz w:val="24"/>
        </w:rPr>
      </w:pPr>
      <w:proofErr w:type="gramStart"/>
      <w:r w:rsidRPr="00B40E70">
        <w:rPr>
          <w:rFonts w:asciiTheme="minorEastAsia" w:hAnsiTheme="minorEastAsia" w:hint="eastAsia"/>
          <w:sz w:val="24"/>
        </w:rPr>
        <w:t>本资产包</w:t>
      </w:r>
      <w:proofErr w:type="gramEnd"/>
      <w:r w:rsidRPr="00B40E70">
        <w:rPr>
          <w:rFonts w:asciiTheme="minorEastAsia" w:hAnsiTheme="minorEastAsia" w:hint="eastAsia"/>
          <w:sz w:val="24"/>
        </w:rPr>
        <w:t>的交易对象须为在中国境内注册并合法存续的法人或者其他组织或具有完全民事行为能力的自然人，并应具备财务状况良好等条件；交易对象不得为：国家公务员、金融监管机构工作人员、政法干警、金融资产管理公司工作人员、债务人管理层、参与资产处置工作的律师、会计师、评估师等中介机构等关联人或者上述关联人参与的非金融机构法人；以及与不良债权转让的金融资产管理公司工作人员、债务人或者受托资产评估机构负责人员等有直系亲属关系的人员。</w:t>
      </w:r>
    </w:p>
    <w:p w:rsidR="00B40E70" w:rsidRPr="00B40E70" w:rsidRDefault="00B40E70" w:rsidP="00B40E70">
      <w:pPr>
        <w:spacing w:line="360" w:lineRule="auto"/>
        <w:ind w:firstLineChars="200" w:firstLine="480"/>
        <w:rPr>
          <w:rFonts w:asciiTheme="minorEastAsia" w:hAnsiTheme="minorEastAsia"/>
          <w:sz w:val="24"/>
        </w:rPr>
      </w:pPr>
      <w:r w:rsidRPr="00B40E70">
        <w:rPr>
          <w:rFonts w:asciiTheme="minorEastAsia" w:hAnsiTheme="minorEastAsia" w:hint="eastAsia"/>
          <w:sz w:val="24"/>
        </w:rPr>
        <w:t>为严格防范交易各方及其关联人士的道德风险，防止不正当交易，防范项目操作风险，非经合作对方同意，任何一方不得擅自通过任何中介（包括任何自然人、法人或其他组织）安排、实施本项目合作事宜。</w:t>
      </w:r>
    </w:p>
    <w:p w:rsidR="00B40E70" w:rsidRPr="00B40E70" w:rsidRDefault="00B40E70" w:rsidP="00B40E70">
      <w:pPr>
        <w:spacing w:line="360" w:lineRule="auto"/>
        <w:ind w:firstLineChars="200" w:firstLine="480"/>
        <w:rPr>
          <w:rFonts w:asciiTheme="minorEastAsia" w:hAnsiTheme="minorEastAsia"/>
          <w:sz w:val="24"/>
        </w:rPr>
      </w:pPr>
      <w:r w:rsidRPr="00B40E70">
        <w:rPr>
          <w:rFonts w:asciiTheme="minorEastAsia" w:hAnsiTheme="minorEastAsia" w:hint="eastAsia"/>
          <w:sz w:val="24"/>
        </w:rPr>
        <w:t>交易双方不得以任何理由向对方及其工作人员、相关组织机构及其工作人员及前述组织和个人的关联方进行商业贿赂、馈赠钱物(现金、有价证券、信用卡、礼金、奖金、补贴、物品等)或进行其他任何形式的利益输送。</w:t>
      </w:r>
    </w:p>
    <w:p w:rsidR="00B40E70" w:rsidRDefault="00B40E70" w:rsidP="00B40E70">
      <w:pPr>
        <w:spacing w:line="360" w:lineRule="auto"/>
        <w:ind w:firstLineChars="200" w:firstLine="480"/>
        <w:rPr>
          <w:rFonts w:asciiTheme="minorEastAsia" w:hAnsiTheme="minorEastAsia"/>
          <w:sz w:val="24"/>
        </w:rPr>
      </w:pPr>
      <w:r w:rsidRPr="00B40E70">
        <w:rPr>
          <w:rFonts w:asciiTheme="minorEastAsia" w:hAnsiTheme="minorEastAsia" w:hint="eastAsia"/>
          <w:sz w:val="24"/>
        </w:rPr>
        <w:lastRenderedPageBreak/>
        <w:t>任何一方在项目运作过程中发现对方存在上述行为，有权提醒对方相关人士立即纠正，经制止拒不纠正的，应告知对方及时采取相应的法律行动。</w:t>
      </w:r>
    </w:p>
    <w:p w:rsidR="00B40E70" w:rsidRDefault="00B40E70" w:rsidP="00B40E70">
      <w:pPr>
        <w:spacing w:line="360" w:lineRule="auto"/>
        <w:ind w:firstLineChars="200" w:firstLine="480"/>
        <w:rPr>
          <w:rFonts w:asciiTheme="minorEastAsia" w:hAnsiTheme="minorEastAsia"/>
          <w:sz w:val="24"/>
        </w:rPr>
      </w:pPr>
      <w:r w:rsidRPr="00B40E70">
        <w:rPr>
          <w:rFonts w:asciiTheme="minorEastAsia" w:hAnsiTheme="minorEastAsia" w:hint="eastAsia"/>
          <w:sz w:val="24"/>
        </w:rPr>
        <w:t>有受让意向者请速与我分公司联系商洽。任何对本处置项目有疑问或异议者均可提出征询或异议。征询或异议的有效期限为自发布之日起</w:t>
      </w:r>
      <w:r w:rsidR="00E00274">
        <w:rPr>
          <w:rFonts w:asciiTheme="minorEastAsia" w:hAnsiTheme="minorEastAsia" w:hint="eastAsia"/>
          <w:sz w:val="24"/>
        </w:rPr>
        <w:t>20个工作日</w:t>
      </w:r>
      <w:r w:rsidRPr="00B40E70">
        <w:rPr>
          <w:rFonts w:asciiTheme="minorEastAsia" w:hAnsiTheme="minorEastAsia" w:hint="eastAsia"/>
          <w:sz w:val="24"/>
        </w:rPr>
        <w:t>。</w:t>
      </w:r>
    </w:p>
    <w:p w:rsidR="00B40E70" w:rsidRPr="00B40E70" w:rsidRDefault="00B40E70" w:rsidP="00B40E70">
      <w:pPr>
        <w:spacing w:line="560" w:lineRule="exact"/>
        <w:ind w:firstLineChars="200" w:firstLine="480"/>
        <w:rPr>
          <w:rFonts w:asciiTheme="minorEastAsia" w:hAnsiTheme="minorEastAsia"/>
          <w:sz w:val="24"/>
        </w:rPr>
      </w:pPr>
      <w:r w:rsidRPr="00B40E70">
        <w:rPr>
          <w:rFonts w:asciiTheme="minorEastAsia" w:hAnsiTheme="minorEastAsia" w:hint="eastAsia"/>
          <w:sz w:val="24"/>
        </w:rPr>
        <w:t>联系人： 李女士、王先生</w:t>
      </w:r>
    </w:p>
    <w:p w:rsidR="00B40E70" w:rsidRPr="00B40E70" w:rsidRDefault="00B40E70" w:rsidP="00B40E70">
      <w:pPr>
        <w:spacing w:line="560" w:lineRule="exact"/>
        <w:ind w:firstLineChars="200" w:firstLine="480"/>
        <w:rPr>
          <w:rFonts w:asciiTheme="minorEastAsia" w:hAnsiTheme="minorEastAsia"/>
          <w:sz w:val="24"/>
        </w:rPr>
      </w:pPr>
      <w:r w:rsidRPr="00B40E70">
        <w:rPr>
          <w:rFonts w:asciiTheme="minorEastAsia" w:hAnsiTheme="minorEastAsia" w:hint="eastAsia"/>
          <w:sz w:val="24"/>
        </w:rPr>
        <w:t>联系电话：022-23028103、022-23023530</w:t>
      </w:r>
    </w:p>
    <w:p w:rsidR="00B40E70" w:rsidRPr="00B40E70" w:rsidRDefault="00B40E70" w:rsidP="00B40E70">
      <w:pPr>
        <w:spacing w:line="560" w:lineRule="exact"/>
        <w:ind w:firstLineChars="200" w:firstLine="480"/>
        <w:rPr>
          <w:rFonts w:asciiTheme="minorEastAsia" w:hAnsiTheme="minorEastAsia"/>
          <w:sz w:val="24"/>
        </w:rPr>
      </w:pPr>
      <w:r w:rsidRPr="00B40E70">
        <w:rPr>
          <w:rFonts w:asciiTheme="minorEastAsia" w:hAnsiTheme="minorEastAsia" w:hint="eastAsia"/>
          <w:sz w:val="24"/>
        </w:rPr>
        <w:t>邮件地址：wanganyu@coamc.com.cn</w:t>
      </w:r>
    </w:p>
    <w:p w:rsidR="00B40E70" w:rsidRPr="00B40E70" w:rsidRDefault="00B40E70" w:rsidP="00B40E70">
      <w:pPr>
        <w:spacing w:line="560" w:lineRule="exact"/>
        <w:ind w:firstLineChars="200" w:firstLine="480"/>
        <w:rPr>
          <w:rFonts w:asciiTheme="minorEastAsia" w:hAnsiTheme="minorEastAsia"/>
          <w:sz w:val="24"/>
        </w:rPr>
      </w:pPr>
      <w:r w:rsidRPr="00B40E70">
        <w:rPr>
          <w:rFonts w:asciiTheme="minorEastAsia" w:hAnsiTheme="minorEastAsia" w:hint="eastAsia"/>
          <w:sz w:val="24"/>
        </w:rPr>
        <w:t>通讯地址：天津市和平区郑州道27号</w:t>
      </w:r>
    </w:p>
    <w:p w:rsidR="00B40E70" w:rsidRPr="00B40E70" w:rsidRDefault="00B40E70" w:rsidP="00B40E70">
      <w:pPr>
        <w:spacing w:line="560" w:lineRule="exact"/>
        <w:ind w:firstLineChars="200" w:firstLine="480"/>
        <w:rPr>
          <w:rFonts w:asciiTheme="minorEastAsia" w:hAnsiTheme="minorEastAsia"/>
          <w:sz w:val="24"/>
        </w:rPr>
      </w:pPr>
      <w:r w:rsidRPr="00B40E70">
        <w:rPr>
          <w:rFonts w:asciiTheme="minorEastAsia" w:hAnsiTheme="minorEastAsia" w:hint="eastAsia"/>
          <w:sz w:val="24"/>
        </w:rPr>
        <w:t>邮编：300050</w:t>
      </w:r>
    </w:p>
    <w:p w:rsidR="00B40E70" w:rsidRPr="00B40E70" w:rsidRDefault="00B40E70" w:rsidP="00B40E70">
      <w:pPr>
        <w:spacing w:line="560" w:lineRule="exact"/>
        <w:ind w:firstLineChars="200" w:firstLine="480"/>
        <w:rPr>
          <w:rFonts w:asciiTheme="minorEastAsia" w:hAnsiTheme="minorEastAsia"/>
          <w:sz w:val="24"/>
        </w:rPr>
      </w:pPr>
      <w:r w:rsidRPr="00B40E70">
        <w:rPr>
          <w:rFonts w:asciiTheme="minorEastAsia" w:hAnsiTheme="minorEastAsia" w:hint="eastAsia"/>
          <w:sz w:val="24"/>
        </w:rPr>
        <w:t>对排斥、阻挠征询或异议的行为可向有关部门举报。</w:t>
      </w:r>
    </w:p>
    <w:p w:rsidR="00B40E70" w:rsidRPr="00B40E70" w:rsidRDefault="00B40E70" w:rsidP="00B40E70">
      <w:pPr>
        <w:spacing w:line="560" w:lineRule="exact"/>
        <w:ind w:firstLineChars="200" w:firstLine="480"/>
        <w:rPr>
          <w:rFonts w:asciiTheme="minorEastAsia" w:hAnsiTheme="minorEastAsia"/>
          <w:sz w:val="24"/>
        </w:rPr>
      </w:pPr>
      <w:r w:rsidRPr="00B40E70">
        <w:rPr>
          <w:rFonts w:asciiTheme="minorEastAsia" w:hAnsiTheme="minorEastAsia" w:hint="eastAsia"/>
          <w:sz w:val="24"/>
        </w:rPr>
        <w:t>举报电话：010-66507773（中国东方资产管理股份有限公司纪检监察部门）； 022-23023510(我分公司纪检监察部门)</w:t>
      </w:r>
    </w:p>
    <w:p w:rsidR="00B40E70" w:rsidRDefault="00B40E70" w:rsidP="003B3EE5">
      <w:pPr>
        <w:spacing w:line="560" w:lineRule="exact"/>
        <w:ind w:leftChars="228" w:left="479"/>
        <w:rPr>
          <w:rFonts w:asciiTheme="minorEastAsia" w:hAnsiTheme="minorEastAsia"/>
          <w:sz w:val="24"/>
        </w:rPr>
      </w:pPr>
      <w:r w:rsidRPr="00B40E70">
        <w:rPr>
          <w:rFonts w:asciiTheme="minorEastAsia" w:hAnsiTheme="minorEastAsia" w:hint="eastAsia"/>
          <w:sz w:val="24"/>
        </w:rPr>
        <w:t>监督管理部门: 财政部驻天津财政监察专员办事处 电话：022-83818786；国家金融监督管理总局天津监管局</w:t>
      </w:r>
      <w:r w:rsidR="00B30E47">
        <w:rPr>
          <w:rFonts w:asciiTheme="minorEastAsia" w:hAnsiTheme="minorEastAsia" w:hint="eastAsia"/>
          <w:sz w:val="24"/>
        </w:rPr>
        <w:t xml:space="preserve"> </w:t>
      </w:r>
      <w:r w:rsidRPr="00B40E70">
        <w:rPr>
          <w:rFonts w:asciiTheme="minorEastAsia" w:hAnsiTheme="minorEastAsia" w:hint="eastAsia"/>
          <w:sz w:val="24"/>
        </w:rPr>
        <w:t>电话：022-12378</w:t>
      </w:r>
    </w:p>
    <w:p w:rsidR="00B84F5E" w:rsidRPr="00B40E70" w:rsidRDefault="00B84F5E" w:rsidP="003B3EE5">
      <w:pPr>
        <w:spacing w:line="560" w:lineRule="exact"/>
        <w:ind w:leftChars="228" w:left="479"/>
        <w:rPr>
          <w:rFonts w:asciiTheme="minorEastAsia" w:hAnsiTheme="minorEastAsia"/>
          <w:sz w:val="24"/>
        </w:rPr>
      </w:pPr>
    </w:p>
    <w:p w:rsidR="00B84F5E" w:rsidRPr="00B84F5E" w:rsidRDefault="00B84F5E" w:rsidP="00B84F5E">
      <w:pPr>
        <w:pStyle w:val="a7"/>
        <w:shd w:val="clear" w:color="auto" w:fill="FFFFFF"/>
        <w:spacing w:before="0" w:beforeAutospacing="0" w:after="0" w:afterAutospacing="0" w:line="480" w:lineRule="atLeast"/>
        <w:ind w:firstLine="480"/>
        <w:rPr>
          <w:rFonts w:asciiTheme="minorEastAsia" w:eastAsiaTheme="minorEastAsia" w:hAnsiTheme="minorEastAsia" w:cstheme="minorBidi"/>
          <w:kern w:val="2"/>
          <w:szCs w:val="22"/>
        </w:rPr>
      </w:pPr>
      <w:r w:rsidRPr="00B84F5E">
        <w:rPr>
          <w:rFonts w:asciiTheme="minorEastAsia" w:eastAsiaTheme="minorEastAsia" w:hAnsiTheme="minorEastAsia" w:cstheme="minorBidi" w:hint="eastAsia"/>
          <w:kern w:val="2"/>
          <w:szCs w:val="22"/>
        </w:rPr>
        <w:t>特别声明：本公告不构成一项要约。</w:t>
      </w:r>
    </w:p>
    <w:p w:rsidR="00E60C65" w:rsidRDefault="00B84F5E" w:rsidP="00EE0961">
      <w:pPr>
        <w:pStyle w:val="a7"/>
        <w:shd w:val="clear" w:color="auto" w:fill="FFFFFF"/>
        <w:spacing w:before="0" w:beforeAutospacing="0" w:after="0" w:afterAutospacing="0" w:line="480" w:lineRule="atLeast"/>
        <w:ind w:firstLine="480"/>
        <w:rPr>
          <w:rFonts w:asciiTheme="minorEastAsia" w:eastAsiaTheme="minorEastAsia" w:hAnsiTheme="minorEastAsia" w:cstheme="minorBidi"/>
          <w:kern w:val="2"/>
          <w:szCs w:val="22"/>
        </w:rPr>
      </w:pPr>
      <w:r w:rsidRPr="00B84F5E">
        <w:rPr>
          <w:rFonts w:asciiTheme="minorEastAsia" w:eastAsiaTheme="minorEastAsia" w:hAnsiTheme="minorEastAsia" w:cstheme="minorBidi" w:hint="eastAsia"/>
          <w:kern w:val="2"/>
          <w:szCs w:val="22"/>
        </w:rPr>
        <w:t>本公告的有效期限为自发布之日起二十个工作日。</w:t>
      </w:r>
    </w:p>
    <w:p w:rsidR="00EE0961" w:rsidRDefault="00EE0961" w:rsidP="00EE0961">
      <w:pPr>
        <w:pStyle w:val="a7"/>
        <w:shd w:val="clear" w:color="auto" w:fill="FFFFFF"/>
        <w:spacing w:before="0" w:beforeAutospacing="0" w:after="0" w:afterAutospacing="0" w:line="480" w:lineRule="atLeast"/>
        <w:ind w:firstLine="480"/>
        <w:rPr>
          <w:rFonts w:asciiTheme="minorEastAsia" w:eastAsiaTheme="minorEastAsia" w:hAnsiTheme="minorEastAsia" w:cstheme="minorBidi"/>
          <w:kern w:val="2"/>
          <w:szCs w:val="22"/>
        </w:rPr>
      </w:pPr>
    </w:p>
    <w:p w:rsidR="00EE0961" w:rsidRPr="00B6495C" w:rsidRDefault="00EE0961" w:rsidP="00B6495C">
      <w:pPr>
        <w:pStyle w:val="a7"/>
        <w:shd w:val="clear" w:color="auto" w:fill="FFFFFF"/>
        <w:spacing w:before="0" w:beforeAutospacing="0" w:after="0" w:afterAutospacing="0" w:line="480" w:lineRule="atLeast"/>
        <w:ind w:firstLine="480"/>
        <w:jc w:val="right"/>
        <w:rPr>
          <w:rFonts w:asciiTheme="minorEastAsia" w:eastAsiaTheme="minorEastAsia" w:hAnsiTheme="minorEastAsia" w:cstheme="minorBidi"/>
          <w:kern w:val="2"/>
          <w:szCs w:val="22"/>
        </w:rPr>
      </w:pPr>
      <w:r w:rsidRPr="00B6495C">
        <w:rPr>
          <w:rFonts w:asciiTheme="minorEastAsia" w:eastAsiaTheme="minorEastAsia" w:hAnsiTheme="minorEastAsia" w:cstheme="minorBidi" w:hint="eastAsia"/>
          <w:kern w:val="2"/>
          <w:szCs w:val="22"/>
        </w:rPr>
        <w:t>中国东方资产管理股份有限公司天津市分公司</w:t>
      </w:r>
    </w:p>
    <w:p w:rsidR="00EE0961" w:rsidRPr="00EE0961" w:rsidRDefault="00EE0961" w:rsidP="00B51716">
      <w:pPr>
        <w:pStyle w:val="a7"/>
        <w:shd w:val="clear" w:color="auto" w:fill="FFFFFF"/>
        <w:wordWrap w:val="0"/>
        <w:spacing w:before="0" w:beforeAutospacing="0" w:after="0" w:afterAutospacing="0" w:line="480" w:lineRule="atLeast"/>
        <w:ind w:firstLine="480"/>
        <w:jc w:val="right"/>
        <w:rPr>
          <w:rFonts w:asciiTheme="minorEastAsia" w:eastAsiaTheme="minorEastAsia" w:hAnsiTheme="minorEastAsia" w:cstheme="minorBidi"/>
          <w:kern w:val="2"/>
          <w:szCs w:val="22"/>
        </w:rPr>
      </w:pPr>
      <w:r w:rsidRPr="00B6495C">
        <w:rPr>
          <w:rFonts w:asciiTheme="minorEastAsia" w:eastAsiaTheme="minorEastAsia" w:hAnsiTheme="minorEastAsia" w:cstheme="minorBidi" w:hint="eastAsia"/>
          <w:kern w:val="2"/>
          <w:szCs w:val="22"/>
        </w:rPr>
        <w:t>2024年1月</w:t>
      </w:r>
      <w:r w:rsidR="00F55DB8">
        <w:rPr>
          <w:rFonts w:asciiTheme="minorEastAsia" w:eastAsiaTheme="minorEastAsia" w:hAnsiTheme="minorEastAsia" w:cstheme="minorBidi" w:hint="eastAsia"/>
          <w:kern w:val="2"/>
          <w:szCs w:val="22"/>
        </w:rPr>
        <w:t>15</w:t>
      </w:r>
      <w:bookmarkStart w:id="0" w:name="_GoBack"/>
      <w:bookmarkEnd w:id="0"/>
      <w:r w:rsidRPr="00B6495C">
        <w:rPr>
          <w:rFonts w:asciiTheme="minorEastAsia" w:eastAsiaTheme="minorEastAsia" w:hAnsiTheme="minorEastAsia" w:cstheme="minorBidi" w:hint="eastAsia"/>
          <w:kern w:val="2"/>
          <w:szCs w:val="22"/>
        </w:rPr>
        <w:t>日</w:t>
      </w:r>
    </w:p>
    <w:sectPr w:rsidR="00EE0961" w:rsidRPr="00EE09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E30" w:rsidRDefault="00BF0E30" w:rsidP="00540D6E">
      <w:r>
        <w:separator/>
      </w:r>
    </w:p>
  </w:endnote>
  <w:endnote w:type="continuationSeparator" w:id="0">
    <w:p w:rsidR="00BF0E30" w:rsidRDefault="00BF0E30" w:rsidP="00540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E30" w:rsidRDefault="00BF0E30" w:rsidP="00540D6E">
      <w:r>
        <w:separator/>
      </w:r>
    </w:p>
  </w:footnote>
  <w:footnote w:type="continuationSeparator" w:id="0">
    <w:p w:rsidR="00BF0E30" w:rsidRDefault="00BF0E30" w:rsidP="00540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AF2"/>
    <w:rsid w:val="00092D65"/>
    <w:rsid w:val="000953CC"/>
    <w:rsid w:val="0009674F"/>
    <w:rsid w:val="000C43ED"/>
    <w:rsid w:val="000D2A49"/>
    <w:rsid w:val="000F1B14"/>
    <w:rsid w:val="000F20D7"/>
    <w:rsid w:val="000F2752"/>
    <w:rsid w:val="000F53E3"/>
    <w:rsid w:val="00110048"/>
    <w:rsid w:val="00121630"/>
    <w:rsid w:val="001301B6"/>
    <w:rsid w:val="001412B4"/>
    <w:rsid w:val="00157ADB"/>
    <w:rsid w:val="00162EAD"/>
    <w:rsid w:val="00167F6F"/>
    <w:rsid w:val="001729D5"/>
    <w:rsid w:val="00174F84"/>
    <w:rsid w:val="001852D5"/>
    <w:rsid w:val="001C5E06"/>
    <w:rsid w:val="001F5671"/>
    <w:rsid w:val="00250992"/>
    <w:rsid w:val="00253DC5"/>
    <w:rsid w:val="002C4CD1"/>
    <w:rsid w:val="002D6407"/>
    <w:rsid w:val="002F64F6"/>
    <w:rsid w:val="0032270D"/>
    <w:rsid w:val="00385A9B"/>
    <w:rsid w:val="003B3EE5"/>
    <w:rsid w:val="003D136E"/>
    <w:rsid w:val="003F6636"/>
    <w:rsid w:val="00436236"/>
    <w:rsid w:val="004653D5"/>
    <w:rsid w:val="00465707"/>
    <w:rsid w:val="004658B8"/>
    <w:rsid w:val="0047486B"/>
    <w:rsid w:val="004810F2"/>
    <w:rsid w:val="004C7A3A"/>
    <w:rsid w:val="004E5D9C"/>
    <w:rsid w:val="00540D6E"/>
    <w:rsid w:val="005B0251"/>
    <w:rsid w:val="005B0A14"/>
    <w:rsid w:val="005F78BE"/>
    <w:rsid w:val="006269E2"/>
    <w:rsid w:val="006B5CF8"/>
    <w:rsid w:val="006C1844"/>
    <w:rsid w:val="006E1172"/>
    <w:rsid w:val="006E3F4B"/>
    <w:rsid w:val="006F48F3"/>
    <w:rsid w:val="007203BC"/>
    <w:rsid w:val="00720FB4"/>
    <w:rsid w:val="00756295"/>
    <w:rsid w:val="00795744"/>
    <w:rsid w:val="007A3E1C"/>
    <w:rsid w:val="00827B6E"/>
    <w:rsid w:val="008325B8"/>
    <w:rsid w:val="00886C0E"/>
    <w:rsid w:val="00896FA5"/>
    <w:rsid w:val="008A7F98"/>
    <w:rsid w:val="008C361D"/>
    <w:rsid w:val="00900291"/>
    <w:rsid w:val="00900421"/>
    <w:rsid w:val="00902D52"/>
    <w:rsid w:val="00906226"/>
    <w:rsid w:val="00906471"/>
    <w:rsid w:val="0091095C"/>
    <w:rsid w:val="0094687A"/>
    <w:rsid w:val="00972713"/>
    <w:rsid w:val="009A5AF2"/>
    <w:rsid w:val="00A40544"/>
    <w:rsid w:val="00A4469A"/>
    <w:rsid w:val="00A55D12"/>
    <w:rsid w:val="00AA6E9F"/>
    <w:rsid w:val="00AC4D9F"/>
    <w:rsid w:val="00AD23C0"/>
    <w:rsid w:val="00AF57A0"/>
    <w:rsid w:val="00B02A6F"/>
    <w:rsid w:val="00B040AA"/>
    <w:rsid w:val="00B30E47"/>
    <w:rsid w:val="00B343B4"/>
    <w:rsid w:val="00B40E70"/>
    <w:rsid w:val="00B51716"/>
    <w:rsid w:val="00B6495C"/>
    <w:rsid w:val="00B84F5E"/>
    <w:rsid w:val="00BA66F5"/>
    <w:rsid w:val="00BA741E"/>
    <w:rsid w:val="00BC0604"/>
    <w:rsid w:val="00BC1F7F"/>
    <w:rsid w:val="00BF0E30"/>
    <w:rsid w:val="00C46655"/>
    <w:rsid w:val="00CB1953"/>
    <w:rsid w:val="00CF3136"/>
    <w:rsid w:val="00D0118A"/>
    <w:rsid w:val="00D413D0"/>
    <w:rsid w:val="00D52BFC"/>
    <w:rsid w:val="00D71DC0"/>
    <w:rsid w:val="00DE1ACB"/>
    <w:rsid w:val="00DE4E72"/>
    <w:rsid w:val="00DF76A2"/>
    <w:rsid w:val="00E00274"/>
    <w:rsid w:val="00E10B42"/>
    <w:rsid w:val="00E14B16"/>
    <w:rsid w:val="00E46418"/>
    <w:rsid w:val="00E479EC"/>
    <w:rsid w:val="00E60C65"/>
    <w:rsid w:val="00EB165C"/>
    <w:rsid w:val="00EB1FEB"/>
    <w:rsid w:val="00EC4A4E"/>
    <w:rsid w:val="00EE0961"/>
    <w:rsid w:val="00F12921"/>
    <w:rsid w:val="00F15348"/>
    <w:rsid w:val="00F314D7"/>
    <w:rsid w:val="00F55DB8"/>
    <w:rsid w:val="00F601C6"/>
    <w:rsid w:val="00FC6890"/>
    <w:rsid w:val="00FC70F0"/>
    <w:rsid w:val="00FF4CEF"/>
    <w:rsid w:val="00FF7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0D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0D6E"/>
    <w:rPr>
      <w:sz w:val="18"/>
      <w:szCs w:val="18"/>
    </w:rPr>
  </w:style>
  <w:style w:type="paragraph" w:styleId="a4">
    <w:name w:val="footer"/>
    <w:basedOn w:val="a"/>
    <w:link w:val="Char0"/>
    <w:uiPriority w:val="99"/>
    <w:unhideWhenUsed/>
    <w:rsid w:val="00540D6E"/>
    <w:pPr>
      <w:tabs>
        <w:tab w:val="center" w:pos="4153"/>
        <w:tab w:val="right" w:pos="8306"/>
      </w:tabs>
      <w:snapToGrid w:val="0"/>
      <w:jc w:val="left"/>
    </w:pPr>
    <w:rPr>
      <w:sz w:val="18"/>
      <w:szCs w:val="18"/>
    </w:rPr>
  </w:style>
  <w:style w:type="character" w:customStyle="1" w:styleId="Char0">
    <w:name w:val="页脚 Char"/>
    <w:basedOn w:val="a0"/>
    <w:link w:val="a4"/>
    <w:uiPriority w:val="99"/>
    <w:rsid w:val="00540D6E"/>
    <w:rPr>
      <w:sz w:val="18"/>
      <w:szCs w:val="18"/>
    </w:rPr>
  </w:style>
  <w:style w:type="table" w:styleId="a5">
    <w:name w:val="Table Grid"/>
    <w:basedOn w:val="a1"/>
    <w:uiPriority w:val="59"/>
    <w:rsid w:val="00D71D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52BFC"/>
    <w:rPr>
      <w:color w:val="0000FF" w:themeColor="hyperlink"/>
      <w:u w:val="single"/>
    </w:rPr>
  </w:style>
  <w:style w:type="paragraph" w:styleId="a7">
    <w:name w:val="Normal (Web)"/>
    <w:basedOn w:val="a"/>
    <w:uiPriority w:val="99"/>
    <w:unhideWhenUsed/>
    <w:rsid w:val="00B84F5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0D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0D6E"/>
    <w:rPr>
      <w:sz w:val="18"/>
      <w:szCs w:val="18"/>
    </w:rPr>
  </w:style>
  <w:style w:type="paragraph" w:styleId="a4">
    <w:name w:val="footer"/>
    <w:basedOn w:val="a"/>
    <w:link w:val="Char0"/>
    <w:uiPriority w:val="99"/>
    <w:unhideWhenUsed/>
    <w:rsid w:val="00540D6E"/>
    <w:pPr>
      <w:tabs>
        <w:tab w:val="center" w:pos="4153"/>
        <w:tab w:val="right" w:pos="8306"/>
      </w:tabs>
      <w:snapToGrid w:val="0"/>
      <w:jc w:val="left"/>
    </w:pPr>
    <w:rPr>
      <w:sz w:val="18"/>
      <w:szCs w:val="18"/>
    </w:rPr>
  </w:style>
  <w:style w:type="character" w:customStyle="1" w:styleId="Char0">
    <w:name w:val="页脚 Char"/>
    <w:basedOn w:val="a0"/>
    <w:link w:val="a4"/>
    <w:uiPriority w:val="99"/>
    <w:rsid w:val="00540D6E"/>
    <w:rPr>
      <w:sz w:val="18"/>
      <w:szCs w:val="18"/>
    </w:rPr>
  </w:style>
  <w:style w:type="table" w:styleId="a5">
    <w:name w:val="Table Grid"/>
    <w:basedOn w:val="a1"/>
    <w:uiPriority w:val="59"/>
    <w:rsid w:val="00D71D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52BFC"/>
    <w:rPr>
      <w:color w:val="0000FF" w:themeColor="hyperlink"/>
      <w:u w:val="single"/>
    </w:rPr>
  </w:style>
  <w:style w:type="paragraph" w:styleId="a7">
    <w:name w:val="Normal (Web)"/>
    <w:basedOn w:val="a"/>
    <w:uiPriority w:val="99"/>
    <w:unhideWhenUsed/>
    <w:rsid w:val="00B84F5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175076">
      <w:bodyDiv w:val="1"/>
      <w:marLeft w:val="0"/>
      <w:marRight w:val="0"/>
      <w:marTop w:val="0"/>
      <w:marBottom w:val="0"/>
      <w:divBdr>
        <w:top w:val="none" w:sz="0" w:space="0" w:color="auto"/>
        <w:left w:val="none" w:sz="0" w:space="0" w:color="auto"/>
        <w:bottom w:val="none" w:sz="0" w:space="0" w:color="auto"/>
        <w:right w:val="none" w:sz="0" w:space="0" w:color="auto"/>
      </w:divBdr>
      <w:divsChild>
        <w:div w:id="974485263">
          <w:marLeft w:val="0"/>
          <w:marRight w:val="0"/>
          <w:marTop w:val="0"/>
          <w:marBottom w:val="0"/>
          <w:divBdr>
            <w:top w:val="none" w:sz="0" w:space="0" w:color="auto"/>
            <w:left w:val="none" w:sz="0" w:space="0" w:color="auto"/>
            <w:bottom w:val="none" w:sz="0" w:space="0" w:color="auto"/>
            <w:right w:val="none" w:sz="0" w:space="0" w:color="auto"/>
          </w:divBdr>
          <w:divsChild>
            <w:div w:id="797456476">
              <w:marLeft w:val="0"/>
              <w:marRight w:val="0"/>
              <w:marTop w:val="0"/>
              <w:marBottom w:val="0"/>
              <w:divBdr>
                <w:top w:val="none" w:sz="0" w:space="0" w:color="auto"/>
                <w:left w:val="none" w:sz="0" w:space="0" w:color="auto"/>
                <w:bottom w:val="none" w:sz="0" w:space="0" w:color="auto"/>
                <w:right w:val="none" w:sz="0" w:space="0" w:color="auto"/>
              </w:divBdr>
              <w:divsChild>
                <w:div w:id="1882865950">
                  <w:marLeft w:val="0"/>
                  <w:marRight w:val="0"/>
                  <w:marTop w:val="0"/>
                  <w:marBottom w:val="0"/>
                  <w:divBdr>
                    <w:top w:val="none" w:sz="0" w:space="0" w:color="auto"/>
                    <w:left w:val="none" w:sz="0" w:space="0" w:color="auto"/>
                    <w:bottom w:val="none" w:sz="0" w:space="0" w:color="auto"/>
                    <w:right w:val="none" w:sz="0" w:space="0" w:color="auto"/>
                  </w:divBdr>
                  <w:divsChild>
                    <w:div w:id="750347247">
                      <w:marLeft w:val="0"/>
                      <w:marRight w:val="0"/>
                      <w:marTop w:val="0"/>
                      <w:marBottom w:val="0"/>
                      <w:divBdr>
                        <w:top w:val="none" w:sz="0" w:space="0" w:color="auto"/>
                        <w:left w:val="none" w:sz="0" w:space="0" w:color="auto"/>
                        <w:bottom w:val="none" w:sz="0" w:space="0" w:color="auto"/>
                        <w:right w:val="none" w:sz="0" w:space="0" w:color="auto"/>
                      </w:divBdr>
                      <w:divsChild>
                        <w:div w:id="2049643359">
                          <w:marLeft w:val="0"/>
                          <w:marRight w:val="0"/>
                          <w:marTop w:val="0"/>
                          <w:marBottom w:val="0"/>
                          <w:divBdr>
                            <w:top w:val="none" w:sz="0" w:space="0" w:color="auto"/>
                            <w:left w:val="none" w:sz="0" w:space="0" w:color="auto"/>
                            <w:bottom w:val="none" w:sz="0" w:space="0" w:color="auto"/>
                            <w:right w:val="none" w:sz="0" w:space="0" w:color="auto"/>
                          </w:divBdr>
                          <w:divsChild>
                            <w:div w:id="599683653">
                              <w:marLeft w:val="0"/>
                              <w:marRight w:val="0"/>
                              <w:marTop w:val="0"/>
                              <w:marBottom w:val="0"/>
                              <w:divBdr>
                                <w:top w:val="none" w:sz="0" w:space="0" w:color="auto"/>
                                <w:left w:val="none" w:sz="0" w:space="0" w:color="auto"/>
                                <w:bottom w:val="none" w:sz="0" w:space="0" w:color="auto"/>
                                <w:right w:val="none" w:sz="0" w:space="0" w:color="auto"/>
                              </w:divBdr>
                              <w:divsChild>
                                <w:div w:id="175074863">
                                  <w:marLeft w:val="-180"/>
                                  <w:marRight w:val="-180"/>
                                  <w:marTop w:val="0"/>
                                  <w:marBottom w:val="0"/>
                                  <w:divBdr>
                                    <w:top w:val="none" w:sz="0" w:space="0" w:color="auto"/>
                                    <w:left w:val="none" w:sz="0" w:space="0" w:color="auto"/>
                                    <w:bottom w:val="none" w:sz="0" w:space="0" w:color="auto"/>
                                    <w:right w:val="none" w:sz="0" w:space="0" w:color="auto"/>
                                  </w:divBdr>
                                  <w:divsChild>
                                    <w:div w:id="1792044930">
                                      <w:marLeft w:val="0"/>
                                      <w:marRight w:val="0"/>
                                      <w:marTop w:val="0"/>
                                      <w:marBottom w:val="0"/>
                                      <w:divBdr>
                                        <w:top w:val="none" w:sz="0" w:space="0" w:color="auto"/>
                                        <w:left w:val="none" w:sz="0" w:space="0" w:color="auto"/>
                                        <w:bottom w:val="none" w:sz="0" w:space="0" w:color="auto"/>
                                        <w:right w:val="none" w:sz="0" w:space="0" w:color="auto"/>
                                      </w:divBdr>
                                      <w:divsChild>
                                        <w:div w:id="1412847328">
                                          <w:marLeft w:val="-180"/>
                                          <w:marRight w:val="-180"/>
                                          <w:marTop w:val="0"/>
                                          <w:marBottom w:val="225"/>
                                          <w:divBdr>
                                            <w:top w:val="none" w:sz="0" w:space="0" w:color="auto"/>
                                            <w:left w:val="none" w:sz="0" w:space="0" w:color="auto"/>
                                            <w:bottom w:val="none" w:sz="0" w:space="0" w:color="auto"/>
                                            <w:right w:val="none" w:sz="0" w:space="0" w:color="auto"/>
                                          </w:divBdr>
                                          <w:divsChild>
                                            <w:div w:id="1903980370">
                                              <w:marLeft w:val="0"/>
                                              <w:marRight w:val="0"/>
                                              <w:marTop w:val="0"/>
                                              <w:marBottom w:val="0"/>
                                              <w:divBdr>
                                                <w:top w:val="none" w:sz="0" w:space="0" w:color="auto"/>
                                                <w:left w:val="none" w:sz="0" w:space="0" w:color="auto"/>
                                                <w:bottom w:val="none" w:sz="0" w:space="0" w:color="auto"/>
                                                <w:right w:val="none" w:sz="0" w:space="0" w:color="auto"/>
                                              </w:divBdr>
                                              <w:divsChild>
                                                <w:div w:id="685131066">
                                                  <w:marLeft w:val="0"/>
                                                  <w:marRight w:val="0"/>
                                                  <w:marTop w:val="0"/>
                                                  <w:marBottom w:val="0"/>
                                                  <w:divBdr>
                                                    <w:top w:val="single" w:sz="2" w:space="3" w:color="BBC0CA"/>
                                                    <w:left w:val="single" w:sz="2" w:space="3" w:color="BBC0CA"/>
                                                    <w:bottom w:val="single" w:sz="2" w:space="3" w:color="BBC0CA"/>
                                                    <w:right w:val="single" w:sz="2" w:space="3" w:color="BBC0CA"/>
                                                  </w:divBdr>
                                                </w:div>
                                              </w:divsChild>
                                            </w:div>
                                          </w:divsChild>
                                        </w:div>
                                      </w:divsChild>
                                    </w:div>
                                  </w:divsChild>
                                </w:div>
                              </w:divsChild>
                            </w:div>
                          </w:divsChild>
                        </w:div>
                      </w:divsChild>
                    </w:div>
                  </w:divsChild>
                </w:div>
              </w:divsChild>
            </w:div>
          </w:divsChild>
        </w:div>
      </w:divsChild>
    </w:div>
    <w:div w:id="191693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amc.com.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3</Pages>
  <Words>345</Words>
  <Characters>1970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王安煜</dc:creator>
  <cp:keywords/>
  <dc:description/>
  <cp:lastModifiedBy>王安煜</cp:lastModifiedBy>
  <cp:revision>125</cp:revision>
  <dcterms:created xsi:type="dcterms:W3CDTF">2021-01-13T10:32:00Z</dcterms:created>
  <dcterms:modified xsi:type="dcterms:W3CDTF">2024-01-15T08:33:00Z</dcterms:modified>
</cp:coreProperties>
</file>